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18220</wp:posOffset>
                </wp:positionH>
                <wp:positionV relativeFrom="paragraph">
                  <wp:posOffset>10795</wp:posOffset>
                </wp:positionV>
                <wp:extent cx="1999615" cy="841375"/>
                <wp:effectExtent l="0" t="0" r="635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999615" cy="841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58240;o:allowoverlap:true;o:allowincell:true;mso-position-horizontal-relative:text;margin-left:1.43pt;mso-position-horizontal:absolute;mso-position-vertical-relative:text;margin-top:0.85pt;mso-position-vertical:absolute;width:157.45pt;height:66.25pt;mso-wrap-distance-left:9.00pt;mso-wrap-distance-top:0.00pt;mso-wrap-distance-right:9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УТВЕРЖДЕНА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приказом НАО «Северная звезда»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15.01.2025г. № 57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ПОЛИТИКА В ОБЛАСТИ ОХРАНЫ ТРУДА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Непубличного акционерного общества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«Северная звезда»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(НАО «Северная звезда»)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714"/>
        <w:numPr>
          <w:ilvl w:val="0"/>
          <w:numId w:val="4"/>
        </w:numPr>
        <w:pBdr/>
        <w:tabs>
          <w:tab w:val="left" w:leader="none" w:pos="284"/>
        </w:tabs>
        <w:spacing/>
        <w:ind w:firstLine="0"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Общие положения</w:t>
      </w:r>
      <w:r>
        <w:rPr>
          <w:b/>
          <w:sz w:val="28"/>
          <w:szCs w:val="28"/>
        </w:rPr>
      </w:r>
    </w:p>
    <w:p>
      <w:pPr>
        <w:pBdr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14"/>
        <w:numPr>
          <w:ilvl w:val="1"/>
          <w:numId w:val="4"/>
        </w:numPr>
        <w:pBdr/>
        <w:tabs>
          <w:tab w:val="left" w:leader="none" w:pos="426"/>
        </w:tabs>
        <w:spacing/>
        <w:ind w:firstLine="0" w:left="0"/>
        <w:jc w:val="both"/>
        <w:rPr/>
      </w:pPr>
      <w:r>
        <w:t xml:space="preserve">Система управления охраной труда (далее по тексту – СУОТ) – комплекс взаимосвязанных и взаимодействующих между собой элементов, устанавливающих политику и цели </w:t>
      </w:r>
      <w:r>
        <w:t xml:space="preserve">НАО «Северная звезда»</w:t>
      </w:r>
      <w:r>
        <w:rPr>
          <w:b/>
        </w:rPr>
        <w:t xml:space="preserve"> </w:t>
      </w:r>
      <w:r>
        <w:t xml:space="preserve">в области охраны труда и процедуры по достижению этих целей.</w:t>
      </w:r>
      <w:r/>
    </w:p>
    <w:p>
      <w:pPr>
        <w:pStyle w:val="714"/>
        <w:numPr>
          <w:ilvl w:val="1"/>
          <w:numId w:val="4"/>
        </w:numPr>
        <w:pBdr/>
        <w:tabs>
          <w:tab w:val="left" w:leader="none" w:pos="426"/>
        </w:tabs>
        <w:spacing/>
        <w:ind w:firstLine="0" w:left="0"/>
        <w:jc w:val="both"/>
        <w:rPr/>
      </w:pPr>
      <w:r>
        <w:t xml:space="preserve">Политика в области охраны труда устанавливает общие требования к организации работы по охране труда на основе нормативных правовых документов, принципов и методов управления, направленных на совершенствование деятельности по охране труда.</w:t>
      </w:r>
      <w:r/>
    </w:p>
    <w:p>
      <w:pPr>
        <w:pStyle w:val="714"/>
        <w:numPr>
          <w:ilvl w:val="1"/>
          <w:numId w:val="4"/>
        </w:numPr>
        <w:pBdr/>
        <w:tabs>
          <w:tab w:val="left" w:leader="none" w:pos="426"/>
        </w:tabs>
        <w:spacing/>
        <w:ind w:firstLine="0" w:left="0"/>
        <w:jc w:val="both"/>
        <w:rPr/>
      </w:pPr>
      <w:r>
        <w:t xml:space="preserve">СУОТ – часть общей системы управления, обеспечивающая управление рисками в области охраны здоровья и безопасности труда, связанными с деятельностью НАО «Северная звезда».</w:t>
      </w:r>
      <w:r/>
    </w:p>
    <w:p>
      <w:pPr>
        <w:pStyle w:val="714"/>
        <w:numPr>
          <w:ilvl w:val="1"/>
          <w:numId w:val="4"/>
        </w:numPr>
        <w:pBdr/>
        <w:tabs>
          <w:tab w:val="left" w:leader="none" w:pos="426"/>
        </w:tabs>
        <w:spacing/>
        <w:ind w:firstLine="0" w:left="0"/>
        <w:jc w:val="both"/>
        <w:rPr/>
      </w:pPr>
      <w:r>
        <w:t xml:space="preserve">СУОТ представляет собой единство:</w:t>
      </w:r>
      <w:r/>
    </w:p>
    <w:p>
      <w:pPr>
        <w:pStyle w:val="716"/>
        <w:numPr>
          <w:ilvl w:val="0"/>
          <w:numId w:val="1"/>
        </w:numPr>
        <w:pBdr/>
        <w:tabs>
          <w:tab w:val="left" w:leader="none" w:pos="284"/>
        </w:tabs>
        <w:spacing/>
        <w:ind w:firstLine="0"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организационной структуры управления предприятия (согласно штатному расписанию), предусматривающей установление обязанностей и ответственности в области охраны труда на всех уровнях управления;</w:t>
      </w:r>
      <w:r>
        <w:rPr>
          <w:rFonts w:ascii="Times New Roman" w:hAnsi="Times New Roman" w:cs="Times New Roman"/>
        </w:rPr>
      </w:r>
    </w:p>
    <w:p>
      <w:pPr>
        <w:pStyle w:val="714"/>
        <w:numPr>
          <w:ilvl w:val="0"/>
          <w:numId w:val="5"/>
        </w:numPr>
        <w:pBdr/>
        <w:tabs>
          <w:tab w:val="left" w:leader="none" w:pos="284"/>
        </w:tabs>
        <w:spacing/>
        <w:ind w:firstLine="0" w:left="0"/>
        <w:jc w:val="both"/>
        <w:rPr/>
      </w:pPr>
      <w:r>
        <w:t xml:space="preserve">мероприятий, обеспечивающих функционирование СУОТ и контроль за эффективностью работы в области охраны труда;</w:t>
      </w:r>
      <w:r/>
    </w:p>
    <w:p>
      <w:pPr>
        <w:pStyle w:val="714"/>
        <w:numPr>
          <w:ilvl w:val="0"/>
          <w:numId w:val="1"/>
        </w:numPr>
        <w:pBdr/>
        <w:tabs>
          <w:tab w:val="left" w:leader="none" w:pos="284"/>
        </w:tabs>
        <w:spacing/>
        <w:ind w:firstLine="0" w:left="0"/>
        <w:jc w:val="both"/>
        <w:rPr/>
      </w:pPr>
      <w:r>
        <w:t xml:space="preserve">документированной информации, включающей локальные нормативные акты, регламентирующие мероприятия СУОТ, организационно-распорядительные и контрольно-учетные документы.</w:t>
      </w:r>
      <w:r/>
    </w:p>
    <w:p>
      <w:pPr>
        <w:pStyle w:val="714"/>
        <w:numPr>
          <w:ilvl w:val="1"/>
          <w:numId w:val="4"/>
        </w:numPr>
        <w:pBdr/>
        <w:tabs>
          <w:tab w:val="left" w:leader="none" w:pos="426"/>
        </w:tabs>
        <w:spacing/>
        <w:ind w:firstLine="0" w:left="0"/>
        <w:jc w:val="both"/>
        <w:rPr/>
      </w:pPr>
      <w:r>
        <w:t xml:space="preserve">Настоящая политика определяет порядок и структуру управления охраной труда на предприятии, служит правовой и организационно-методической основой формирования управленческой структуры, локальных нормативных документов.</w:t>
      </w:r>
      <w:r/>
    </w:p>
    <w:p>
      <w:pPr>
        <w:pStyle w:val="716"/>
        <w:numPr>
          <w:ilvl w:val="1"/>
          <w:numId w:val="4"/>
        </w:numPr>
        <w:pBdr/>
        <w:tabs>
          <w:tab w:val="left" w:leader="none" w:pos="426"/>
        </w:tabs>
        <w:spacing/>
        <w:ind w:firstLine="0"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Объектом управления является охрана труда, как система сохранения жизни и здоровья работников в процессе трудовой деятельности, включающая в себя правовые, социально</w:t>
      </w:r>
      <w:r>
        <w:rPr>
          <w:rFonts w:ascii="Times New Roman" w:hAnsi="Times New Roman" w:cs="Times New Roman"/>
        </w:rPr>
        <w:noBreakHyphen/>
        <w:t xml:space="preserve">экономические, организационно-технические, санитарно-гигиенические, лечебно</w:t>
      </w:r>
      <w:r>
        <w:rPr>
          <w:rFonts w:ascii="Times New Roman" w:hAnsi="Times New Roman" w:cs="Times New Roman"/>
        </w:rPr>
        <w:noBreakHyphen/>
        <w:t xml:space="preserve">профилактические, реабилитационные и иные мероприятия.</w:t>
      </w:r>
      <w:r>
        <w:rPr>
          <w:rFonts w:ascii="Times New Roman" w:hAnsi="Times New Roman" w:cs="Times New Roman"/>
        </w:rPr>
      </w:r>
    </w:p>
    <w:p>
      <w:pPr>
        <w:pStyle w:val="714"/>
        <w:numPr>
          <w:ilvl w:val="1"/>
          <w:numId w:val="4"/>
        </w:numPr>
        <w:pBdr/>
        <w:tabs>
          <w:tab w:val="left" w:leader="none" w:pos="284"/>
          <w:tab w:val="left" w:leader="none" w:pos="426"/>
        </w:tabs>
        <w:spacing/>
        <w:ind w:firstLine="0" w:left="0"/>
        <w:jc w:val="both"/>
        <w:rPr/>
      </w:pPr>
      <w:r>
        <w:t xml:space="preserve">Политика НАО «Северная звезда» в области охраны труда заключается в осознанном и гарантированном выполнении </w:t>
      </w:r>
      <w:r>
        <w:t xml:space="preserve">работодателем</w:t>
      </w:r>
      <w:r>
        <w:t xml:space="preserve"> обязанностей по соблюдению государственных нормативных требований охраны труда. НАО «Северная звезда» рассматривает СУОТ как необходимый элемент управления производством и неотъемлемую часть </w:t>
      </w:r>
      <w:r>
        <w:t xml:space="preserve">деятельности предприятия</w:t>
      </w:r>
      <w:r>
        <w:t xml:space="preserve">.</w:t>
      </w:r>
      <w:r/>
    </w:p>
    <w:p>
      <w:pPr>
        <w:pStyle w:val="714"/>
        <w:numPr>
          <w:ilvl w:val="1"/>
          <w:numId w:val="4"/>
        </w:numPr>
        <w:pBdr/>
        <w:tabs>
          <w:tab w:val="left" w:leader="none" w:pos="284"/>
          <w:tab w:val="left" w:leader="none" w:pos="426"/>
        </w:tabs>
        <w:spacing/>
        <w:ind w:firstLine="0" w:left="0"/>
        <w:jc w:val="both"/>
        <w:rPr/>
      </w:pPr>
      <w:r>
        <w:t xml:space="preserve">Действие</w:t>
      </w:r>
      <w:r>
        <w:t xml:space="preserve"> политики распространяется на все обособленные подразделения предприятия.</w:t>
      </w:r>
      <w:r/>
    </w:p>
    <w:p>
      <w:pPr>
        <w:pStyle w:val="714"/>
        <w:numPr>
          <w:ilvl w:val="1"/>
          <w:numId w:val="4"/>
        </w:numPr>
        <w:pBdr/>
        <w:tabs>
          <w:tab w:val="left" w:leader="none" w:pos="284"/>
          <w:tab w:val="left" w:leader="none" w:pos="426"/>
        </w:tabs>
        <w:spacing/>
        <w:ind w:firstLine="0" w:left="0"/>
        <w:jc w:val="both"/>
        <w:rPr/>
      </w:pPr>
      <w:r>
        <w:t xml:space="preserve"> </w:t>
      </w:r>
      <w:r>
        <w:t xml:space="preserve">Основными принципами НАО «Северная звезда» являются:</w:t>
      </w:r>
      <w:r/>
    </w:p>
    <w:p>
      <w:pPr>
        <w:pStyle w:val="714"/>
        <w:numPr>
          <w:ilvl w:val="0"/>
          <w:numId w:val="2"/>
        </w:numPr>
        <w:pBdr/>
        <w:tabs>
          <w:tab w:val="left" w:leader="none" w:pos="284"/>
        </w:tabs>
        <w:spacing/>
        <w:ind w:firstLine="0" w:left="0"/>
        <w:jc w:val="both"/>
        <w:rPr/>
      </w:pPr>
      <w:r>
        <w:t xml:space="preserve">обеспечение приоритета сохранения жизни и здоровья работников в процессе их трудовой деятельности;</w:t>
      </w:r>
      <w:r/>
    </w:p>
    <w:p>
      <w:pPr>
        <w:pStyle w:val="714"/>
        <w:numPr>
          <w:ilvl w:val="0"/>
          <w:numId w:val="2"/>
        </w:numPr>
        <w:pBdr/>
        <w:tabs>
          <w:tab w:val="left" w:leader="none" w:pos="284"/>
        </w:tabs>
        <w:spacing/>
        <w:ind w:firstLine="0" w:left="0"/>
        <w:jc w:val="both"/>
        <w:rPr/>
      </w:pPr>
      <w:r>
        <w:t xml:space="preserve">соответствие условий труда на рабочих местах требованиям охраны труда;</w:t>
      </w:r>
      <w:r/>
    </w:p>
    <w:p>
      <w:pPr>
        <w:pStyle w:val="714"/>
        <w:numPr>
          <w:ilvl w:val="0"/>
          <w:numId w:val="2"/>
        </w:numPr>
        <w:pBdr/>
        <w:tabs>
          <w:tab w:val="left" w:leader="none" w:pos="284"/>
        </w:tabs>
        <w:spacing/>
        <w:ind w:firstLine="0" w:left="0"/>
        <w:jc w:val="both"/>
        <w:rPr/>
      </w:pPr>
      <w:r>
        <w:t xml:space="preserve">выполнение последовательных и непрерывных мер, направленных на профилактику и предупреждение производственного травматизма и профессиональных заболеваний, в том числе посредством управления профессиональными рисками;</w:t>
      </w:r>
      <w:r/>
    </w:p>
    <w:p>
      <w:pPr>
        <w:pStyle w:val="714"/>
        <w:numPr>
          <w:ilvl w:val="0"/>
          <w:numId w:val="2"/>
        </w:numPr>
        <w:pBdr/>
        <w:tabs>
          <w:tab w:val="left" w:leader="none" w:pos="284"/>
        </w:tabs>
        <w:spacing/>
        <w:ind w:firstLine="0" w:left="0"/>
        <w:jc w:val="both"/>
        <w:rPr/>
      </w:pPr>
      <w:r>
        <w:t xml:space="preserve">формирование у работников устойчивого мотивированного механизма безопасного поведения, развитие навыков предупреждения нештатных ситуаций на производстве;</w:t>
      </w:r>
      <w:r/>
    </w:p>
    <w:p>
      <w:pPr>
        <w:pStyle w:val="714"/>
        <w:numPr>
          <w:ilvl w:val="0"/>
          <w:numId w:val="2"/>
        </w:numPr>
        <w:pBdr/>
        <w:tabs>
          <w:tab w:val="left" w:leader="none" w:pos="284"/>
        </w:tabs>
        <w:spacing/>
        <w:ind w:firstLine="0" w:left="0"/>
        <w:jc w:val="both"/>
        <w:rPr/>
      </w:pPr>
      <w:r>
        <w:t xml:space="preserve">привлечение работников к участию в управлении охраной труда.</w:t>
      </w:r>
      <w:r/>
    </w:p>
    <w:p>
      <w:pPr>
        <w:pStyle w:val="714"/>
        <w:pBdr/>
        <w:tabs>
          <w:tab w:val="left" w:leader="none" w:pos="284"/>
        </w:tabs>
        <w:spacing/>
        <w:ind w:left="0"/>
        <w:jc w:val="both"/>
        <w:rPr/>
      </w:pPr>
      <w:r/>
      <w:r/>
    </w:p>
    <w:p>
      <w:pPr>
        <w:pStyle w:val="714"/>
        <w:numPr>
          <w:ilvl w:val="0"/>
          <w:numId w:val="4"/>
        </w:numPr>
        <w:pBdr/>
        <w:tabs>
          <w:tab w:val="left" w:leader="none" w:pos="1418"/>
          <w:tab w:val="left" w:leader="none" w:pos="7371"/>
        </w:tabs>
        <w:spacing/>
        <w:ind w:hanging="283" w:left="170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 </w:t>
      </w:r>
      <w:r>
        <w:rPr>
          <w:b/>
          <w:sz w:val="28"/>
          <w:szCs w:val="28"/>
        </w:rPr>
        <w:t xml:space="preserve">НАО «Северная звезда» в области охраны труда</w:t>
      </w:r>
      <w:r>
        <w:rPr>
          <w:b/>
          <w:sz w:val="28"/>
          <w:szCs w:val="28"/>
        </w:rPr>
      </w:r>
    </w:p>
    <w:p>
      <w:pPr>
        <w:pStyle w:val="714"/>
        <w:pBdr/>
        <w:tabs>
          <w:tab w:val="left" w:leader="none" w:pos="1418"/>
          <w:tab w:val="left" w:leader="none" w:pos="7371"/>
        </w:tabs>
        <w:spacing/>
        <w:ind w:left="170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284"/>
        </w:tabs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Основные задачи СУОТ в НАО «Северная звезда»: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4"/>
        <w:numPr>
          <w:ilvl w:val="0"/>
          <w:numId w:val="3"/>
        </w:numPr>
        <w:pBdr/>
        <w:tabs>
          <w:tab w:val="left" w:leader="none" w:pos="284"/>
        </w:tabs>
        <w:spacing/>
        <w:ind w:firstLine="0" w:left="0"/>
        <w:jc w:val="both"/>
        <w:rPr/>
      </w:pPr>
      <w:r>
        <w:t xml:space="preserve">реализация основных направлений политики в сфере охраны труда и выработка предложений по ее совершенствованию;</w:t>
      </w:r>
      <w:r/>
    </w:p>
    <w:p>
      <w:pPr>
        <w:pStyle w:val="714"/>
        <w:numPr>
          <w:ilvl w:val="0"/>
          <w:numId w:val="3"/>
        </w:numPr>
        <w:pBdr/>
        <w:tabs>
          <w:tab w:val="left" w:leader="none" w:pos="284"/>
        </w:tabs>
        <w:spacing/>
        <w:ind w:firstLine="0" w:left="0"/>
        <w:jc w:val="both"/>
        <w:rPr/>
      </w:pPr>
      <w:r>
        <w:t xml:space="preserve">разработка и реализация мероприятий по улучшению условий и охраны труда;</w:t>
      </w:r>
      <w:r/>
    </w:p>
    <w:p>
      <w:pPr>
        <w:numPr>
          <w:ilvl w:val="0"/>
          <w:numId w:val="3"/>
        </w:numPr>
        <w:pBdr/>
        <w:tabs>
          <w:tab w:val="left" w:leader="none" w:pos="284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создание ус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ловий, обеспечивающих соблюдение законодательства по охране труда, в том числе обеспечение безопасности эксплуатации зданий и сооружений, используемых в трудовом процессе, оборудования, приборов и технических средств трудового процесса, сырья и материалов;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pBdr/>
        <w:tabs>
          <w:tab w:val="left" w:leader="none" w:pos="284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обеспечение контроля за соблюдением требований охраны труда;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3"/>
        </w:numPr>
        <w:pBdr/>
        <w:tabs>
          <w:tab w:val="left" w:leader="none" w:pos="284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охрана и укрепление здоровья работников, организация их лечебно-профилактического обслуживания, создание оптимального сочетания режимов производственного процесса, организованного отдыха.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spacing w:after="0" w:line="240" w:lineRule="auto"/>
        <w:ind w:left="567"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"/>
        </w:numPr>
        <w:pBdr/>
        <w:tabs>
          <w:tab w:val="left" w:leader="none" w:pos="284"/>
        </w:tabs>
        <w:spacing w:after="0" w:line="240" w:lineRule="auto"/>
        <w:ind w:firstLine="0" w:left="0"/>
        <w:contextualSpacing w:val="true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Цели НАО «Северная звезда» в области охраны труда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pacing w:after="0" w:line="240" w:lineRule="auto"/>
        <w:ind w:left="360"/>
        <w:contextualSpacing w:val="true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widowControl w:val="false"/>
        <w:numPr>
          <w:ilvl w:val="1"/>
          <w:numId w:val="4"/>
        </w:numPr>
        <w:pBdr/>
        <w:tabs>
          <w:tab w:val="left" w:leader="none" w:pos="284"/>
          <w:tab w:val="left" w:leader="none" w:pos="426"/>
          <w:tab w:val="left" w:leader="none" w:pos="709"/>
        </w:tabs>
        <w:spacing w:after="0" w:line="240" w:lineRule="auto"/>
        <w:ind w:firstLine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Основной целью НАО «Северная звезда» 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вляется обеспечение эффективной деятельности предприятия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без травматизма, аварий и инцидентов.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widowControl w:val="false"/>
        <w:numPr>
          <w:ilvl w:val="1"/>
          <w:numId w:val="4"/>
        </w:numPr>
        <w:pBdr/>
        <w:tabs>
          <w:tab w:val="left" w:leader="none" w:pos="284"/>
          <w:tab w:val="left" w:leader="none" w:pos="426"/>
          <w:tab w:val="left" w:leader="none" w:pos="709"/>
        </w:tabs>
        <w:spacing w:after="0" w:line="240" w:lineRule="auto"/>
        <w:ind w:firstLine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Цели пре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дприятия в области охраны труда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достигаются путем реализации следующих процедур: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7"/>
        </w:numPr>
        <w:pBdr/>
        <w:tabs>
          <w:tab w:val="left" w:leader="none" w:pos="284"/>
        </w:tabs>
        <w:spacing w:after="0" w:line="240" w:lineRule="auto"/>
        <w:ind w:hanging="11" w:left="0"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подготовка и обучение работников по охране труда;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7"/>
        </w:numPr>
        <w:pBdr/>
        <w:tabs>
          <w:tab w:val="left" w:leader="none" w:pos="284"/>
        </w:tabs>
        <w:spacing w:after="0" w:line="240" w:lineRule="auto"/>
        <w:ind w:hanging="11" w:left="0"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организация и проведение специальной оценки условий труда;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7"/>
        </w:numPr>
        <w:pBdr/>
        <w:tabs>
          <w:tab w:val="left" w:leader="none" w:pos="284"/>
        </w:tabs>
        <w:spacing w:after="0" w:line="240" w:lineRule="auto"/>
        <w:ind w:hanging="11" w:left="0"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организация и проведение наблюдения за состоянием здоровья работников;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7"/>
        </w:numPr>
        <w:pBdr/>
        <w:tabs>
          <w:tab w:val="left" w:leader="none" w:pos="284"/>
        </w:tabs>
        <w:spacing w:after="0" w:line="240" w:lineRule="auto"/>
        <w:ind w:hanging="11" w:left="0"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информирование работников об условиях труда на их рабочих местах, уровнях профессиональных рисков, а также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полагающихся им гарантиях и компенсациях;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7"/>
        </w:numPr>
        <w:pBdr/>
        <w:tabs>
          <w:tab w:val="left" w:leader="none" w:pos="284"/>
        </w:tabs>
        <w:spacing w:after="0" w:line="240" w:lineRule="auto"/>
        <w:ind w:hanging="11" w:left="0"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обеспечение оптимальных режимов труда и отдыха работников;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7"/>
        </w:numPr>
        <w:pBdr/>
        <w:tabs>
          <w:tab w:val="left" w:leader="none" w:pos="284"/>
        </w:tabs>
        <w:spacing w:after="0" w:line="240" w:lineRule="auto"/>
        <w:ind w:hanging="11" w:left="0"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обеспечение работников средствами индивидуальной и коллективной защиты, смывающими и обезвреживающими средствами;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7"/>
        </w:numPr>
        <w:pBdr/>
        <w:tabs>
          <w:tab w:val="left" w:leader="none" w:pos="284"/>
        </w:tabs>
        <w:spacing w:after="0" w:line="240" w:lineRule="auto"/>
        <w:ind w:hanging="11" w:left="0"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управление профессиональными рисками;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7"/>
        </w:numPr>
        <w:pBdr/>
        <w:tabs>
          <w:tab w:val="left" w:leader="none" w:pos="284"/>
        </w:tabs>
        <w:spacing w:after="0" w:line="240" w:lineRule="auto"/>
        <w:ind w:hanging="11" w:left="0"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обеспечение безопасности при выполн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ении подрядных работ и снабжение безопасной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продукцией.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tabs>
          <w:tab w:val="left" w:leader="none" w:pos="284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4"/>
        </w:numPr>
        <w:pBdr/>
        <w:tabs>
          <w:tab w:val="left" w:leader="none" w:pos="284"/>
        </w:tabs>
        <w:spacing w:after="0" w:line="240" w:lineRule="auto"/>
        <w:ind w:firstLine="0" w:left="0"/>
        <w:contextualSpacing w:val="true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Процедуры, направленные на достижение целей работодателя в области охраны труда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tabs>
          <w:tab w:val="left" w:leader="none" w:pos="0"/>
        </w:tabs>
        <w:spacing w:after="0" w:line="240" w:lineRule="auto"/>
        <w:ind/>
        <w:contextualSpacing w:val="true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widowControl w:val="false"/>
        <w:numPr>
          <w:ilvl w:val="1"/>
          <w:numId w:val="4"/>
        </w:numPr>
        <w:pBdr/>
        <w:tabs>
          <w:tab w:val="left" w:leader="none" w:pos="426"/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0" w:name="sub_77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Процедура подготовки работников по охране труда.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widowControl w:val="false"/>
        <w:pBdr/>
        <w:tabs>
          <w:tab w:val="left" w:leader="none" w:pos="426"/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Процедура подготовки работников по охра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труда направлена на формирование, закрепление и развитие мотивации и навыков безопасного поведения, знаний, умений и навыков выполнения безопасных приемов труда и (или) управления обеспечением безопасности других лиц в процессе их трудовой деятельности.</w:t>
      </w:r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"/>
        </w:numPr>
        <w:pBdr/>
        <w:tabs>
          <w:tab w:val="left" w:leader="none" w:pos="426"/>
        </w:tabs>
        <w:spacing w:after="0" w:line="240" w:lineRule="auto"/>
        <w:ind w:firstLine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Процедура организации и проведения специальной оценки условий труда.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tabs>
          <w:tab w:val="left" w:leader="none" w:pos="567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Процедура организации и проведения специальной оценки условий труда направлена на проведение анализа состояния условий труда на рабочих местах с целью выявления на них вредных и/или опасных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производственных факторов, оценки уровня их воздействия на работника и определения степени отклонения полученных значений от установленных нормативов, а также с целью оценки эффективности применения средств индивидуальной и коллективной защиты работников.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"/>
        </w:numPr>
        <w:pBdr/>
        <w:tabs>
          <w:tab w:val="left" w:leader="none" w:pos="426"/>
          <w:tab w:val="left" w:leader="none" w:pos="567"/>
        </w:tabs>
        <w:spacing w:after="0" w:line="240" w:lineRule="auto"/>
        <w:ind w:firstLine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Процедура организации и проведения наблюдения за состоянием здоровья работников.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tabs>
          <w:tab w:val="left" w:leader="none" w:pos="567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целью реализации процедуры наблюдения за состоянием здоровья работников устан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влен порядок организации и проведения обязательных предварительных (при поступлении на работу), периодических (в течени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трудовой деятельности) медицинских осмотров, а также обязательных психиатрических освидетельствований в соответствии с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4"/>
        </w:numPr>
        <w:pBdr/>
        <w:tabs>
          <w:tab w:val="left" w:leader="none" w:pos="426"/>
        </w:tabs>
        <w:spacing w:after="0" w:line="240" w:lineRule="auto"/>
        <w:ind w:firstLine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Процедура информирования работников об условиях труда на их рабочих местах, уровнях профессиональных рисков, а также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полагающихся им гарантиях и компенсациях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tabs>
          <w:tab w:val="left" w:leader="none" w:pos="567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Информирование работников об условиях труда,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полагающихся им гарантиях и компенсациях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осуществляется в форме: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6"/>
        </w:numPr>
        <w:pBdr/>
        <w:tabs>
          <w:tab w:val="left" w:leader="none" w:pos="284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включения соответствующей информации в программы инструктажей;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6"/>
        </w:numPr>
        <w:pBdr/>
        <w:tabs>
          <w:tab w:val="left" w:leader="none" w:pos="284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включения соответствующих пунктов в трудовой договор работника;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6"/>
        </w:numPr>
        <w:pBdr/>
        <w:tabs>
          <w:tab w:val="left" w:leader="none" w:pos="284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ознакомления работника с результатами специальной оценки условий труда на его рабочем месте и результатами оценки профессиональных рисков под подпись;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6"/>
        </w:numPr>
        <w:pBdr/>
        <w:tabs>
          <w:tab w:val="left" w:leader="none" w:pos="284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размещения сводных данных о результатах проведения специальной оценки условий труда на рабочих местах (с учетом требований законодательства Российской Федерации о персональных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данных, о государственной и об иной охраняемой законом тайне) на официальном сайте предприятия </w:t>
      </w:r>
      <w:hyperlink r:id="rId11" w:tooltip="http://www.ns03.ru" w:history="1">
        <w:r>
          <w:rPr>
            <w:rFonts w:ascii="Times New Roman" w:hAnsi="Times New Roman" w:eastAsia="Times New Roman" w:cs="Times New Roman"/>
            <w:sz w:val="24"/>
            <w:szCs w:val="24"/>
            <w:u w:val="single"/>
            <w:lang w:eastAsia="ru-RU"/>
          </w:rPr>
          <w:t xml:space="preserve">www.ns03.ru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6"/>
        </w:numPr>
        <w:pBdr/>
        <w:tabs>
          <w:tab w:val="left" w:leader="none" w:pos="284"/>
          <w:tab w:val="left" w:leader="none" w:pos="567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проведения совещаний, круглых столов заинтересованных сторон.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pBdr/>
        <w:tabs>
          <w:tab w:val="left" w:leader="none" w:pos="426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Процедура обеспечения оптимальных режимов труда и отдыха работников.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tabs>
          <w:tab w:val="left" w:leader="none" w:pos="567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целью организации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процедуры обеспечения оптимальных режимов труда и отдыха работников в НАО «Северная звезда» определяются мероприятия по предотвращению возможности травмирования работников, их заболеваемости из-за переутомления и воздействия психофизиологических факторов.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pBdr/>
        <w:tabs>
          <w:tab w:val="left" w:leader="none" w:pos="426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Процедура управления профессиональными рисками.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tabs>
          <w:tab w:val="left" w:leader="none" w:pos="567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hyperlink r:id="rId12" w:tooltip="consultantplus://offline/ref=ABC2A2B01FAB4E930B0ABEBE3FA42E085C4B198BE30620C7B8225847D1557287A5C5A21D61110120676406A93C24FACAA0DDD0004480D5lDJ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Управление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профессиональными рисками - комплекс взаимосвязанных мероприятий и процедур, которые являются элементами СУОТ.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pBdr/>
        <w:tabs>
          <w:tab w:val="left" w:leader="none" w:pos="426"/>
        </w:tabs>
        <w:spacing w:after="0" w:line="240" w:lineRule="auto"/>
        <w:ind w:firstLine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Процедура обеспечения работников средствами индивидуальной и коллективной защиты.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tabs>
          <w:tab w:val="left" w:leader="none" w:pos="426"/>
          <w:tab w:val="left" w:leader="none" w:pos="567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целью организации процедуры обеспечения работников предприятия средствами индивидуальной защиты, смывающими и обезвреживающими средствами установлен порядок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обеспечения работников специальной одеждой, специальной обувью и другими средствами индивидуальной защиты, смывающими и обезвреживающими средствами, в том числе порядок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определения потребности,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организации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приобретения, организации контроля за правильностью их эксплуатации работниками,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учета выдачи, хранения, обслуживания (дезактивации, чистки, стирки, ремонта) средств индивидуальной защиты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 вывода из эксплуатации.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1"/>
          <w:numId w:val="8"/>
        </w:numPr>
        <w:pBdr/>
        <w:tabs>
          <w:tab w:val="left" w:leader="none" w:pos="426"/>
        </w:tabs>
        <w:spacing w:after="0" w:line="240" w:lineRule="auto"/>
        <w:ind w:firstLine="0" w:left="0"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Процедура обеспечения безопасного выполнения подрядных работ и снабж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безопасной продукцией.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tabs>
          <w:tab w:val="left" w:leader="none" w:pos="426"/>
          <w:tab w:val="left" w:leader="none" w:pos="567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целях обеспечения безопасности при выполнении подрядных работ и снабжении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безопасной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продукцией устанавливается порядок взаимодействия с подрядчиками, ответственность подрядчика и порядок контроля со стороны НАО «Северная звезда» за выполнением согласованных действий.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Bdr/>
        <w:tabs>
          <w:tab w:val="left" w:leader="none" w:pos="284"/>
          <w:tab w:val="left" w:leader="none" w:pos="567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widowControl w:val="false"/>
        <w:numPr>
          <w:ilvl w:val="0"/>
          <w:numId w:val="9"/>
        </w:numPr>
        <w:pBdr/>
        <w:tabs>
          <w:tab w:val="left" w:leader="none" w:pos="284"/>
        </w:tabs>
        <w:spacing w:after="0" w:line="240" w:lineRule="auto"/>
        <w:ind w:firstLine="0" w:left="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Планирование мероприятий по реализации процедур,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keepLines w:val="true"/>
        <w:widowControl w:val="false"/>
        <w:pBdr/>
        <w:spacing w:after="0" w:line="240" w:lineRule="auto"/>
        <w:ind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направленных на достижение целей в области охраны труда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tabs>
          <w:tab w:val="left" w:leader="none" w:pos="284"/>
          <w:tab w:val="left" w:leader="none" w:pos="426"/>
        </w:tabs>
        <w:spacing w:after="0" w:line="240" w:lineRule="auto"/>
        <w:ind/>
        <w:contextualSpacing w:val="tru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714"/>
        <w:pBdr/>
        <w:tabs>
          <w:tab w:val="left" w:leader="none" w:pos="284"/>
        </w:tabs>
        <w:spacing/>
        <w:ind w:left="0"/>
        <w:jc w:val="both"/>
        <w:rPr/>
      </w:pPr>
      <w:r>
        <w:tab/>
        <w:t xml:space="preserve">С целью планирования мероприятий по реализации процедур, направленных на достижение целей в области охраны</w:t>
      </w:r>
      <w:r>
        <w:t xml:space="preserve"> труда</w:t>
      </w:r>
      <w:r>
        <w:t xml:space="preserve"> ежегодно разрабатывается и актуализируется «Перечень мероприятий по улучшению условий и охраны труда работников НАО «Северная звезда».</w:t>
      </w:r>
      <w:r/>
    </w:p>
    <w:p>
      <w:pPr>
        <w:pStyle w:val="714"/>
        <w:pBdr/>
        <w:tabs>
          <w:tab w:val="left" w:leader="none" w:pos="284"/>
        </w:tabs>
        <w:spacing/>
        <w:ind w:left="0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714"/>
        <w:pBdr/>
        <w:tabs>
          <w:tab w:val="left" w:leader="none" w:pos="284"/>
        </w:tabs>
        <w:spacing/>
        <w:ind w:left="0"/>
        <w:jc w:val="both"/>
        <w:rPr/>
      </w:pPr>
      <w:r/>
      <w:r/>
    </w:p>
    <w:sectPr>
      <w:footerReference w:type="default" r:id="rId9"/>
      <w:footnotePr/>
      <w:endnotePr/>
      <w:type w:val="nextPage"/>
      <w:pgSz w:h="16838" w:orient="portrait" w:w="11906"/>
      <w:pgMar w:top="567" w:right="567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28378886"/>
      <w:docPartObj>
        <w:docPartGallery w:val="Page Numbers (Bottom of Page)"/>
        <w:docPartUnique w:val="true"/>
      </w:docPartObj>
      <w:rPr/>
    </w:sdtPr>
    <w:sdtContent>
      <w:p>
        <w:pPr>
          <w:pStyle w:val="720"/>
          <w:pBdr/>
          <w:spacing/>
          <w:ind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3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  <w:p>
    <w:pPr>
      <w:pStyle w:val="72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91"/>
      </w:pPr>
      <w:rPr>
        <w:rFonts w:hint="default"/>
        <w:sz w:val="28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1920"/>
      </w:pPr>
      <w:rPr>
        <w:rFonts w:hint="default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1004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%1"/>
      <w:numFmt w:val="decimal"/>
      <w:pPr>
        <w:pBdr/>
        <w:spacing/>
        <w:ind w:hanging="360" w:left="2062"/>
      </w:pPr>
      <w:rPr>
        <w:rFonts w:hint="default"/>
        <w:sz w:val="28"/>
      </w:rPr>
      <w:start w:val="4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/>
      </w:rPr>
      <w:start w:val="5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305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333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sz w:val="28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7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40"/>
      </w:pPr>
      <w:rPr>
        <w:rFonts w:hint="default" w:ascii="Wingdings" w:hAnsi="Wingdings"/>
      </w:rPr>
      <w:start w:val="1"/>
      <w:suff w:val="tab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71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7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707"/>
    <w:next w:val="70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07"/>
    <w:next w:val="70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5"/>
    <w:basedOn w:val="707"/>
    <w:next w:val="70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07"/>
    <w:next w:val="70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07"/>
    <w:next w:val="70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07"/>
    <w:next w:val="70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07"/>
    <w:next w:val="70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10"/>
    <w:link w:val="7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1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1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10"/>
    <w:link w:val="70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1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1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1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1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1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07"/>
    <w:next w:val="70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1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07"/>
    <w:next w:val="70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1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07"/>
    <w:next w:val="70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1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07"/>
    <w:next w:val="70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1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0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1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1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10"/>
    <w:link w:val="718"/>
    <w:uiPriority w:val="99"/>
    <w:pPr>
      <w:pBdr/>
      <w:spacing/>
      <w:ind/>
    </w:pPr>
  </w:style>
  <w:style w:type="character" w:styleId="178">
    <w:name w:val="Footer Char"/>
    <w:basedOn w:val="710"/>
    <w:link w:val="720"/>
    <w:uiPriority w:val="99"/>
    <w:pPr>
      <w:pBdr/>
      <w:spacing/>
      <w:ind/>
    </w:pPr>
  </w:style>
  <w:style w:type="paragraph" w:styleId="179">
    <w:name w:val="Caption"/>
    <w:basedOn w:val="707"/>
    <w:next w:val="70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0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1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0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1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1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07"/>
    <w:next w:val="707"/>
    <w:uiPriority w:val="99"/>
    <w:unhideWhenUsed/>
    <w:pPr>
      <w:pBdr/>
      <w:spacing w:after="0" w:afterAutospacing="0"/>
      <w:ind/>
    </w:pPr>
  </w:style>
  <w:style w:type="paragraph" w:styleId="707" w:default="1">
    <w:name w:val="Normal"/>
    <w:qFormat/>
    <w:pPr>
      <w:pBdr/>
      <w:spacing/>
      <w:ind/>
    </w:pPr>
  </w:style>
  <w:style w:type="paragraph" w:styleId="708">
    <w:name w:val="Heading 1"/>
    <w:basedOn w:val="707"/>
    <w:next w:val="707"/>
    <w:link w:val="713"/>
    <w:qFormat/>
    <w:pPr>
      <w:keepNext w:val="true"/>
      <w:keepLines w:val="true"/>
      <w:pBdr/>
      <w:spacing w:after="0" w:before="240" w:line="240" w:lineRule="auto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ru-RU"/>
    </w:rPr>
  </w:style>
  <w:style w:type="paragraph" w:styleId="709">
    <w:name w:val="Heading 4"/>
    <w:basedOn w:val="707"/>
    <w:next w:val="707"/>
    <w:link w:val="717"/>
    <w:uiPriority w:val="9"/>
    <w:semiHidden/>
    <w:unhideWhenUsed/>
    <w:qFormat/>
    <w:pPr>
      <w:keepNext w:val="true"/>
      <w:keepLines w:val="true"/>
      <w:pBdr/>
      <w:spacing w:after="0" w:before="40"/>
      <w:ind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710" w:default="1">
    <w:name w:val="Default Paragraph Font"/>
    <w:uiPriority w:val="1"/>
    <w:semiHidden/>
    <w:unhideWhenUsed/>
    <w:pPr>
      <w:pBdr/>
      <w:spacing/>
      <w:ind/>
    </w:pPr>
  </w:style>
  <w:style w:type="table" w:styleId="71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2" w:default="1">
    <w:name w:val="No List"/>
    <w:uiPriority w:val="99"/>
    <w:semiHidden/>
    <w:unhideWhenUsed/>
    <w:pPr>
      <w:pBdr/>
      <w:spacing/>
      <w:ind/>
    </w:pPr>
  </w:style>
  <w:style w:type="character" w:styleId="713" w:customStyle="1">
    <w:name w:val="Заголовок 1 Знак"/>
    <w:basedOn w:val="710"/>
    <w:link w:val="708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ru-RU"/>
    </w:rPr>
  </w:style>
  <w:style w:type="paragraph" w:styleId="714">
    <w:name w:val="List Paragraph"/>
    <w:basedOn w:val="707"/>
    <w:uiPriority w:val="34"/>
    <w:qFormat/>
    <w:pPr>
      <w:pBdr/>
      <w:spacing w:after="0" w:line="240" w:lineRule="auto"/>
      <w:ind w:left="720"/>
      <w:contextualSpacing w:val="tru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5" w:customStyle="1">
    <w:name w:val="Цветовое выделение"/>
    <w:uiPriority w:val="99"/>
    <w:pPr>
      <w:pBdr/>
      <w:spacing/>
      <w:ind/>
    </w:pPr>
    <w:rPr>
      <w:b/>
      <w:bCs/>
      <w:color w:val="000080"/>
    </w:rPr>
  </w:style>
  <w:style w:type="paragraph" w:styleId="716" w:customStyle="1">
    <w:name w:val="Таблицы (моноширинный)"/>
    <w:basedOn w:val="707"/>
    <w:next w:val="707"/>
    <w:uiPriority w:val="99"/>
    <w:pPr>
      <w:widowControl w:val="false"/>
      <w:pBdr/>
      <w:spacing w:after="0" w:line="240" w:lineRule="auto"/>
      <w:ind/>
      <w:jc w:val="both"/>
    </w:pPr>
    <w:rPr>
      <w:rFonts w:ascii="Courier New" w:hAnsi="Courier New" w:eastAsia="Times New Roman" w:cs="Courier New"/>
      <w:sz w:val="24"/>
      <w:szCs w:val="24"/>
      <w:lang w:eastAsia="ru-RU"/>
    </w:rPr>
  </w:style>
  <w:style w:type="character" w:styleId="717" w:customStyle="1">
    <w:name w:val="Заголовок 4 Знак"/>
    <w:basedOn w:val="710"/>
    <w:link w:val="70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718">
    <w:name w:val="Header"/>
    <w:basedOn w:val="707"/>
    <w:link w:val="719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19" w:customStyle="1">
    <w:name w:val="Верхний колонтитул Знак"/>
    <w:basedOn w:val="710"/>
    <w:link w:val="718"/>
    <w:uiPriority w:val="99"/>
    <w:pPr>
      <w:pBdr/>
      <w:spacing/>
      <w:ind/>
    </w:pPr>
  </w:style>
  <w:style w:type="paragraph" w:styleId="720">
    <w:name w:val="Footer"/>
    <w:basedOn w:val="707"/>
    <w:link w:val="721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21" w:customStyle="1">
    <w:name w:val="Нижний колонтитул Знак"/>
    <w:basedOn w:val="710"/>
    <w:link w:val="720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Relationship Id="rId11" Type="http://schemas.openxmlformats.org/officeDocument/2006/relationships/hyperlink" Target="http://www.ns03.ru" TargetMode="External"/><Relationship Id="rId12" Type="http://schemas.openxmlformats.org/officeDocument/2006/relationships/hyperlink" Target="consultantplus://offline/ref=ABC2A2B01FAB4E930B0ABEBE3FA42E085C4B198BE30620C7B8225847D1557287A5C5A21D61110120676406A93C24FACAA0DDD0004480D5lD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Савицкий Николай Игоревич</dc:creator>
  <cp:keywords/>
  <dc:description/>
  <cp:lastModifiedBy>Алякин</cp:lastModifiedBy>
  <cp:revision>3</cp:revision>
  <dcterms:created xsi:type="dcterms:W3CDTF">2026-03-13T08:57:00Z</dcterms:created>
  <dcterms:modified xsi:type="dcterms:W3CDTF">2026-03-17T07:34:19Z</dcterms:modified>
</cp:coreProperties>
</file>