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64" w:rsidRPr="005B6C50" w:rsidRDefault="001032B0" w:rsidP="005B6C50">
      <w:pPr>
        <w:jc w:val="center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МИНИСТЕРСТВО ЗДРАВО</w:t>
      </w:r>
      <w:r w:rsidR="00D20A64" w:rsidRPr="005B6C50">
        <w:rPr>
          <w:rFonts w:ascii="Arial Narrow" w:hAnsi="Arial Narrow" w:cs="Times New Roman"/>
          <w:sz w:val="24"/>
          <w:szCs w:val="24"/>
        </w:rPr>
        <w:t>ОХРАНЕНИЯ</w:t>
      </w:r>
      <w:r w:rsidRPr="005B6C50">
        <w:rPr>
          <w:rFonts w:ascii="Arial Narrow" w:hAnsi="Arial Narrow" w:cs="Times New Roman"/>
          <w:sz w:val="24"/>
          <w:szCs w:val="24"/>
        </w:rPr>
        <w:t xml:space="preserve"> РОССИЙСКОЙ ФЕДЕРАЦИИ</w:t>
      </w:r>
    </w:p>
    <w:p w:rsidR="001032B0" w:rsidRPr="005B6C50" w:rsidRDefault="001032B0" w:rsidP="005B6C50">
      <w:pPr>
        <w:jc w:val="center"/>
        <w:rPr>
          <w:rFonts w:ascii="Arial Narrow" w:hAnsi="Arial Narrow" w:cs="Times New Roman"/>
          <w:caps/>
          <w:sz w:val="24"/>
          <w:szCs w:val="24"/>
        </w:rPr>
      </w:pPr>
      <w:r w:rsidRPr="005B6C50">
        <w:rPr>
          <w:rFonts w:ascii="Arial Narrow" w:hAnsi="Arial Narrow" w:cs="Times New Roman"/>
          <w:caps/>
          <w:sz w:val="24"/>
          <w:szCs w:val="24"/>
        </w:rPr>
        <w:t xml:space="preserve">ИНСТРУКЦИЯ </w:t>
      </w:r>
    </w:p>
    <w:p w:rsidR="001032B0" w:rsidRPr="005B6C50" w:rsidRDefault="00441455" w:rsidP="005B6C50">
      <w:pPr>
        <w:ind w:left="-284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 медицинскому применению лекарственного препарата</w:t>
      </w:r>
    </w:p>
    <w:p w:rsidR="00122DE2" w:rsidRPr="005B6C50" w:rsidRDefault="005B6C50" w:rsidP="005B6C50">
      <w:pPr>
        <w:jc w:val="center"/>
        <w:rPr>
          <w:rFonts w:ascii="Arial Narrow" w:hAnsi="Arial Narrow" w:cs="Times New Roman"/>
          <w:b/>
          <w:color w:val="00CC00"/>
          <w:sz w:val="44"/>
          <w:szCs w:val="44"/>
        </w:rPr>
      </w:pPr>
      <w:r w:rsidRPr="005B6C50">
        <w:rPr>
          <w:rFonts w:ascii="Arial Narrow" w:hAnsi="Arial Narrow" w:cs="Times New Roman"/>
          <w:b/>
          <w:color w:val="00CC00"/>
          <w:sz w:val="44"/>
          <w:szCs w:val="44"/>
        </w:rPr>
        <w:t>УРСОДЕЗ</w:t>
      </w:r>
      <w:r w:rsidRPr="005B6C50">
        <w:rPr>
          <w:rFonts w:ascii="Arial Narrow" w:hAnsi="Arial Narrow" w:cs="Times New Roman"/>
          <w:b/>
          <w:color w:val="00CC00"/>
          <w:sz w:val="44"/>
          <w:szCs w:val="44"/>
          <w:vertAlign w:val="superscript"/>
        </w:rPr>
        <w:t>®</w:t>
      </w:r>
    </w:p>
    <w:p w:rsidR="0087647A" w:rsidRPr="005B6C50" w:rsidRDefault="0087647A" w:rsidP="005B6C50">
      <w:pPr>
        <w:rPr>
          <w:rFonts w:ascii="Arial Narrow" w:hAnsi="Arial Narrow" w:cs="Times New Roman"/>
          <w:bCs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Регистрационный номер</w:t>
      </w:r>
      <w:r w:rsidRPr="005B6C50">
        <w:rPr>
          <w:rFonts w:ascii="Arial Narrow" w:hAnsi="Arial Narrow" w:cs="Times New Roman"/>
          <w:bCs/>
          <w:sz w:val="24"/>
          <w:szCs w:val="24"/>
        </w:rPr>
        <w:t>:</w:t>
      </w:r>
      <w:r w:rsidR="00960D97" w:rsidRPr="005B6C50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441455">
        <w:rPr>
          <w:rFonts w:ascii="Arial Narrow" w:hAnsi="Arial Narrow" w:cs="Times New Roman"/>
          <w:bCs/>
          <w:sz w:val="24"/>
          <w:szCs w:val="24"/>
        </w:rPr>
        <w:t>ЛП-003238</w:t>
      </w:r>
    </w:p>
    <w:p w:rsidR="0087647A" w:rsidRPr="005B6C50" w:rsidRDefault="00AF27F1" w:rsidP="005B6C50">
      <w:pPr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Торговое наименование</w:t>
      </w:r>
      <w:r w:rsidRPr="005B6C50">
        <w:rPr>
          <w:rFonts w:ascii="Arial Narrow" w:hAnsi="Arial Narrow" w:cs="Times New Roman"/>
          <w:sz w:val="24"/>
          <w:szCs w:val="24"/>
        </w:rPr>
        <w:t>:</w:t>
      </w:r>
      <w:r w:rsidR="001F32EE" w:rsidRPr="005B6C5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F32EE" w:rsidRPr="005B6C50">
        <w:rPr>
          <w:rFonts w:ascii="Arial Narrow" w:hAnsi="Arial Narrow" w:cs="Times New Roman"/>
          <w:sz w:val="24"/>
          <w:szCs w:val="24"/>
        </w:rPr>
        <w:t>Урсодез</w:t>
      </w:r>
      <w:proofErr w:type="spellEnd"/>
      <w:r w:rsidR="001F32EE" w:rsidRPr="005B6C50">
        <w:rPr>
          <w:rFonts w:ascii="Arial Narrow" w:hAnsi="Arial Narrow" w:cs="Times New Roman"/>
          <w:sz w:val="24"/>
          <w:szCs w:val="24"/>
          <w:vertAlign w:val="superscript"/>
        </w:rPr>
        <w:t>®</w:t>
      </w:r>
    </w:p>
    <w:p w:rsidR="00AF27F1" w:rsidRPr="005B6C50" w:rsidRDefault="0087647A" w:rsidP="005B6C50">
      <w:pPr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Меж</w:t>
      </w:r>
      <w:r w:rsidR="00AF27F1" w:rsidRPr="005B6C50">
        <w:rPr>
          <w:rFonts w:ascii="Arial Narrow" w:hAnsi="Arial Narrow" w:cs="Times New Roman"/>
          <w:b/>
          <w:bCs/>
          <w:sz w:val="24"/>
          <w:szCs w:val="24"/>
        </w:rPr>
        <w:t>дународное непатентованное наименование</w:t>
      </w:r>
      <w:r w:rsidR="001F32EE" w:rsidRPr="005B6C50">
        <w:rPr>
          <w:rFonts w:ascii="Arial Narrow" w:hAnsi="Arial Narrow" w:cs="Times New Roman"/>
          <w:sz w:val="24"/>
          <w:szCs w:val="24"/>
        </w:rPr>
        <w:t xml:space="preserve">: </w:t>
      </w:r>
      <w:proofErr w:type="spellStart"/>
      <w:r w:rsidR="001F32EE" w:rsidRPr="005B6C50">
        <w:rPr>
          <w:rFonts w:ascii="Arial Narrow" w:hAnsi="Arial Narrow" w:cs="Times New Roman"/>
          <w:sz w:val="24"/>
          <w:szCs w:val="24"/>
        </w:rPr>
        <w:t>урсодезоксихолевая</w:t>
      </w:r>
      <w:proofErr w:type="spellEnd"/>
      <w:r w:rsidR="001F32EE" w:rsidRPr="005B6C50">
        <w:rPr>
          <w:rFonts w:ascii="Arial Narrow" w:hAnsi="Arial Narrow" w:cs="Times New Roman"/>
          <w:sz w:val="24"/>
          <w:szCs w:val="24"/>
        </w:rPr>
        <w:t xml:space="preserve"> кислота</w:t>
      </w:r>
    </w:p>
    <w:p w:rsidR="00303F2E" w:rsidRPr="005B6C50" w:rsidRDefault="0087647A" w:rsidP="005B6C50">
      <w:pPr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color w:val="000000"/>
          <w:sz w:val="24"/>
          <w:szCs w:val="24"/>
        </w:rPr>
        <w:t>Лекарственная форма</w:t>
      </w:r>
      <w:r w:rsidR="001F32EE" w:rsidRPr="005B6C50">
        <w:rPr>
          <w:rFonts w:ascii="Arial Narrow" w:hAnsi="Arial Narrow" w:cs="Times New Roman"/>
          <w:bCs/>
          <w:color w:val="000000"/>
          <w:sz w:val="24"/>
          <w:szCs w:val="24"/>
        </w:rPr>
        <w:t>: капсулы</w:t>
      </w:r>
    </w:p>
    <w:p w:rsidR="0087647A" w:rsidRPr="005B6C50" w:rsidRDefault="0087647A" w:rsidP="005B6C50">
      <w:pPr>
        <w:rPr>
          <w:rFonts w:ascii="Arial Narrow" w:hAnsi="Arial Narrow" w:cs="Times New Roman"/>
          <w:b/>
          <w:bCs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Состав: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одна капсула содержит:</w:t>
      </w:r>
    </w:p>
    <w:p w:rsidR="00C02C45" w:rsidRPr="005B6C50" w:rsidRDefault="00C67EAF" w:rsidP="005B6C50">
      <w:pPr>
        <w:pStyle w:val="a5"/>
        <w:jc w:val="both"/>
        <w:rPr>
          <w:rFonts w:ascii="Arial Narrow" w:hAnsi="Arial Narrow"/>
          <w:iCs/>
        </w:rPr>
      </w:pPr>
      <w:r w:rsidRPr="005B6C50">
        <w:rPr>
          <w:rFonts w:ascii="Arial Narrow" w:hAnsi="Arial Narrow"/>
          <w:i/>
        </w:rPr>
        <w:t>действующее</w:t>
      </w:r>
      <w:r w:rsidR="00C02C45" w:rsidRPr="005B6C50">
        <w:rPr>
          <w:rFonts w:ascii="Arial Narrow" w:hAnsi="Arial Narrow"/>
          <w:i/>
        </w:rPr>
        <w:t xml:space="preserve"> веществ</w:t>
      </w:r>
      <w:r w:rsidR="00E13153" w:rsidRPr="005B6C50">
        <w:rPr>
          <w:rFonts w:ascii="Arial Narrow" w:hAnsi="Arial Narrow"/>
          <w:i/>
        </w:rPr>
        <w:t>о</w:t>
      </w:r>
      <w:r w:rsidR="00C02C45" w:rsidRPr="005B6C50">
        <w:rPr>
          <w:rFonts w:ascii="Arial Narrow" w:hAnsi="Arial Narrow"/>
        </w:rPr>
        <w:t xml:space="preserve">: </w:t>
      </w:r>
      <w:proofErr w:type="spellStart"/>
      <w:r w:rsidR="00C02C45" w:rsidRPr="005B6C50">
        <w:rPr>
          <w:rFonts w:ascii="Arial Narrow" w:hAnsi="Arial Narrow"/>
          <w:bCs/>
        </w:rPr>
        <w:t>у</w:t>
      </w:r>
      <w:r w:rsidR="00E13153" w:rsidRPr="005B6C50">
        <w:rPr>
          <w:rFonts w:ascii="Arial Narrow" w:hAnsi="Arial Narrow"/>
          <w:iCs/>
        </w:rPr>
        <w:t>рсодезоксихолевая</w:t>
      </w:r>
      <w:proofErr w:type="spellEnd"/>
      <w:r w:rsidR="00E13153" w:rsidRPr="005B6C50">
        <w:rPr>
          <w:rFonts w:ascii="Arial Narrow" w:hAnsi="Arial Narrow"/>
          <w:iCs/>
        </w:rPr>
        <w:t xml:space="preserve"> кислота</w:t>
      </w:r>
      <w:r w:rsidR="00C02C45" w:rsidRPr="005B6C50">
        <w:rPr>
          <w:rFonts w:ascii="Arial Narrow" w:hAnsi="Arial Narrow"/>
          <w:iCs/>
        </w:rPr>
        <w:t xml:space="preserve"> – 500 мг</w:t>
      </w:r>
    </w:p>
    <w:p w:rsidR="00C02C45" w:rsidRPr="005B6C50" w:rsidRDefault="00C02C45" w:rsidP="005B6C50">
      <w:pPr>
        <w:pStyle w:val="a5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  <w:r w:rsidRPr="005B6C50">
        <w:rPr>
          <w:rFonts w:ascii="Arial Narrow" w:hAnsi="Arial Narrow"/>
          <w:i/>
          <w:iCs/>
        </w:rPr>
        <w:t>вспомогательные вещества:</w:t>
      </w:r>
      <w:r w:rsidRPr="005B6C50">
        <w:rPr>
          <w:rFonts w:ascii="Arial Narrow" w:hAnsi="Arial Narrow"/>
        </w:rPr>
        <w:t xml:space="preserve"> кроскар</w:t>
      </w:r>
      <w:r w:rsidR="00FE1A62" w:rsidRPr="005B6C50">
        <w:rPr>
          <w:rFonts w:ascii="Arial Narrow" w:hAnsi="Arial Narrow"/>
        </w:rPr>
        <w:t>меллоза натрия (примеллоза) – 16</w:t>
      </w:r>
      <w:r w:rsidR="00E17873" w:rsidRPr="005B6C50">
        <w:rPr>
          <w:rFonts w:ascii="Arial Narrow" w:hAnsi="Arial Narrow"/>
        </w:rPr>
        <w:t>,0 мг,</w:t>
      </w:r>
      <w:r w:rsidRPr="005B6C50">
        <w:rPr>
          <w:rFonts w:ascii="Arial Narrow" w:hAnsi="Arial Narrow"/>
        </w:rPr>
        <w:t xml:space="preserve"> </w:t>
      </w:r>
      <w:proofErr w:type="spellStart"/>
      <w:r w:rsidRPr="005B6C50">
        <w:rPr>
          <w:rFonts w:ascii="Arial Narrow" w:hAnsi="Arial Narrow"/>
        </w:rPr>
        <w:t>гидроксипропилметилцеллюлоза</w:t>
      </w:r>
      <w:proofErr w:type="spellEnd"/>
      <w:r w:rsidRPr="005B6C50">
        <w:rPr>
          <w:rFonts w:ascii="Arial Narrow" w:hAnsi="Arial Narrow"/>
        </w:rPr>
        <w:t xml:space="preserve"> </w:t>
      </w:r>
      <w:r w:rsidR="00E17873" w:rsidRPr="005B6C50">
        <w:rPr>
          <w:rFonts w:ascii="Arial Narrow" w:hAnsi="Arial Narrow"/>
        </w:rPr>
        <w:t>(</w:t>
      </w:r>
      <w:proofErr w:type="spellStart"/>
      <w:r w:rsidR="00E17873" w:rsidRPr="005B6C50">
        <w:rPr>
          <w:rFonts w:ascii="Arial Narrow" w:hAnsi="Arial Narrow"/>
        </w:rPr>
        <w:t>гипромеллоза</w:t>
      </w:r>
      <w:proofErr w:type="spellEnd"/>
      <w:r w:rsidR="00E17873" w:rsidRPr="005B6C50">
        <w:rPr>
          <w:rFonts w:ascii="Arial Narrow" w:hAnsi="Arial Narrow"/>
        </w:rPr>
        <w:t>) – 14</w:t>
      </w:r>
      <w:r w:rsidRPr="005B6C50">
        <w:rPr>
          <w:rFonts w:ascii="Arial Narrow" w:hAnsi="Arial Narrow"/>
        </w:rPr>
        <w:t>,0 мг, магния стеарат</w:t>
      </w:r>
      <w:r w:rsidR="00AB18A4" w:rsidRPr="005B6C50">
        <w:rPr>
          <w:rFonts w:ascii="Arial Narrow" w:hAnsi="Arial Narrow"/>
        </w:rPr>
        <w:t xml:space="preserve"> – 5</w:t>
      </w:r>
      <w:r w:rsidRPr="005B6C50">
        <w:rPr>
          <w:rFonts w:ascii="Arial Narrow" w:hAnsi="Arial Narrow"/>
        </w:rPr>
        <w:t>,0 мг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Cs/>
          <w:i/>
          <w:sz w:val="24"/>
          <w:szCs w:val="24"/>
        </w:rPr>
        <w:t>оболочка капсулы:</w:t>
      </w:r>
      <w:r w:rsidRPr="005B6C50">
        <w:rPr>
          <w:rFonts w:ascii="Arial Narrow" w:hAnsi="Arial Narrow" w:cs="Times New Roman"/>
          <w:bCs/>
          <w:sz w:val="24"/>
          <w:szCs w:val="24"/>
        </w:rPr>
        <w:t xml:space="preserve"> корпус</w:t>
      </w:r>
      <w:r w:rsidR="00087E6E" w:rsidRPr="005B6C50">
        <w:rPr>
          <w:rFonts w:ascii="Arial Narrow" w:hAnsi="Arial Narrow" w:cs="Times New Roman"/>
          <w:sz w:val="24"/>
          <w:szCs w:val="24"/>
        </w:rPr>
        <w:t>:</w:t>
      </w:r>
      <w:r w:rsidRPr="005B6C50">
        <w:rPr>
          <w:rFonts w:ascii="Arial Narrow" w:hAnsi="Arial Narrow" w:cs="Times New Roman"/>
          <w:sz w:val="24"/>
          <w:szCs w:val="24"/>
        </w:rPr>
        <w:t xml:space="preserve"> титана диоксид</w:t>
      </w:r>
      <w:r w:rsidR="00087E6E" w:rsidRPr="005B6C50">
        <w:rPr>
          <w:rFonts w:ascii="Arial Narrow" w:hAnsi="Arial Narrow" w:cs="Times New Roman"/>
          <w:sz w:val="24"/>
          <w:szCs w:val="24"/>
        </w:rPr>
        <w:t xml:space="preserve"> – 2</w:t>
      </w:r>
      <w:r w:rsidR="00C229B5" w:rsidRPr="005B6C50">
        <w:rPr>
          <w:rFonts w:ascii="Arial Narrow" w:hAnsi="Arial Narrow" w:cs="Times New Roman"/>
          <w:sz w:val="24"/>
          <w:szCs w:val="24"/>
        </w:rPr>
        <w:t>,</w:t>
      </w:r>
      <w:r w:rsidR="00087E6E" w:rsidRPr="005B6C50">
        <w:rPr>
          <w:rFonts w:ascii="Arial Narrow" w:hAnsi="Arial Narrow" w:cs="Times New Roman"/>
          <w:sz w:val="24"/>
          <w:szCs w:val="24"/>
        </w:rPr>
        <w:t>0 %</w:t>
      </w:r>
      <w:r w:rsidRPr="005B6C50">
        <w:rPr>
          <w:rFonts w:ascii="Arial Narrow" w:hAnsi="Arial Narrow" w:cs="Times New Roman"/>
          <w:sz w:val="24"/>
          <w:szCs w:val="24"/>
        </w:rPr>
        <w:t>, желатин</w:t>
      </w:r>
      <w:r w:rsidR="00087E6E" w:rsidRPr="005B6C50">
        <w:rPr>
          <w:rFonts w:ascii="Arial Narrow" w:hAnsi="Arial Narrow" w:cs="Times New Roman"/>
          <w:sz w:val="24"/>
          <w:szCs w:val="24"/>
        </w:rPr>
        <w:t xml:space="preserve"> – до 100 %, крышечка:</w:t>
      </w:r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r w:rsidRPr="005B6C50">
        <w:rPr>
          <w:rFonts w:ascii="Arial Narrow" w:hAnsi="Arial Narrow"/>
          <w:sz w:val="24"/>
          <w:szCs w:val="24"/>
        </w:rPr>
        <w:t>титана диоксид</w:t>
      </w:r>
      <w:r w:rsidR="00087E6E" w:rsidRPr="005B6C50">
        <w:rPr>
          <w:rFonts w:ascii="Arial Narrow" w:hAnsi="Arial Narrow"/>
          <w:sz w:val="24"/>
          <w:szCs w:val="24"/>
        </w:rPr>
        <w:t xml:space="preserve"> – 1,7434 %</w:t>
      </w:r>
      <w:r w:rsidR="00AB5416" w:rsidRPr="005B6C50">
        <w:rPr>
          <w:rFonts w:ascii="Arial Narrow" w:hAnsi="Arial Narrow"/>
          <w:sz w:val="24"/>
          <w:szCs w:val="24"/>
        </w:rPr>
        <w:t xml:space="preserve">, краситель </w:t>
      </w:r>
      <w:r w:rsidRPr="005B6C50">
        <w:rPr>
          <w:rFonts w:ascii="Arial Narrow" w:hAnsi="Arial Narrow"/>
          <w:sz w:val="24"/>
          <w:szCs w:val="24"/>
        </w:rPr>
        <w:t>солнечный закат</w:t>
      </w:r>
      <w:r w:rsidR="00AB5416" w:rsidRPr="005B6C50">
        <w:rPr>
          <w:rFonts w:ascii="Arial Narrow" w:hAnsi="Arial Narrow"/>
          <w:sz w:val="24"/>
          <w:szCs w:val="24"/>
        </w:rPr>
        <w:t xml:space="preserve"> желтый</w:t>
      </w:r>
      <w:r w:rsidR="00087E6E" w:rsidRPr="005B6C50">
        <w:rPr>
          <w:rFonts w:ascii="Arial Narrow" w:hAnsi="Arial Narrow"/>
          <w:sz w:val="24"/>
          <w:szCs w:val="24"/>
        </w:rPr>
        <w:t xml:space="preserve"> – 0,4183 %</w:t>
      </w:r>
      <w:r w:rsidRPr="005B6C50">
        <w:rPr>
          <w:rFonts w:ascii="Arial Narrow" w:hAnsi="Arial Narrow"/>
          <w:sz w:val="24"/>
          <w:szCs w:val="24"/>
        </w:rPr>
        <w:t>, желатин</w:t>
      </w:r>
      <w:r w:rsidR="00087E6E" w:rsidRPr="005B6C50">
        <w:rPr>
          <w:rFonts w:ascii="Arial Narrow" w:hAnsi="Arial Narrow"/>
          <w:sz w:val="24"/>
          <w:szCs w:val="24"/>
        </w:rPr>
        <w:t xml:space="preserve"> – до 100 %</w:t>
      </w:r>
    </w:p>
    <w:p w:rsidR="00303F2E" w:rsidRPr="005B6C50" w:rsidRDefault="00303F2E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Описание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/>
          <w:iCs/>
          <w:sz w:val="24"/>
          <w:szCs w:val="24"/>
        </w:rPr>
        <w:t>Твердые, непрозрачные желатиновые капсулы № 00:</w:t>
      </w:r>
      <w:r w:rsidRPr="005B6C50">
        <w:rPr>
          <w:rFonts w:ascii="Arial Narrow" w:hAnsi="Arial Narrow"/>
          <w:sz w:val="24"/>
          <w:szCs w:val="24"/>
        </w:rPr>
        <w:t xml:space="preserve"> корпус белого цвета с крышечкой оранжевого цвета. </w:t>
      </w:r>
      <w:r w:rsidRPr="005B6C50">
        <w:rPr>
          <w:rFonts w:ascii="Arial Narrow" w:hAnsi="Arial Narrow"/>
          <w:iCs/>
          <w:sz w:val="24"/>
          <w:szCs w:val="24"/>
        </w:rPr>
        <w:t>Содержимое капсул</w:t>
      </w:r>
      <w:r w:rsidRPr="005B6C50">
        <w:rPr>
          <w:rFonts w:ascii="Arial Narrow" w:hAnsi="Arial Narrow"/>
          <w:sz w:val="24"/>
          <w:szCs w:val="24"/>
        </w:rPr>
        <w:t xml:space="preserve"> – гранулированный порошок и гранулы белого или почти белого цвета.</w:t>
      </w:r>
      <w:r w:rsidR="001F32EE" w:rsidRPr="005B6C50">
        <w:rPr>
          <w:rFonts w:ascii="Arial Narrow" w:hAnsi="Arial Narrow" w:cs="Times New Roman"/>
          <w:sz w:val="24"/>
          <w:szCs w:val="24"/>
        </w:rPr>
        <w:t xml:space="preserve"> </w:t>
      </w:r>
    </w:p>
    <w:p w:rsidR="00193ACC" w:rsidRPr="005B6C50" w:rsidRDefault="001C31C2" w:rsidP="005B6C50">
      <w:pPr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sz w:val="24"/>
          <w:szCs w:val="24"/>
        </w:rPr>
        <w:t>Фармакотерапевтическая группа</w:t>
      </w:r>
      <w:r w:rsidR="005550DE" w:rsidRPr="005B6C50">
        <w:rPr>
          <w:rFonts w:ascii="Arial Narrow" w:hAnsi="Arial Narrow" w:cs="Times New Roman"/>
          <w:b/>
          <w:bCs/>
          <w:sz w:val="24"/>
          <w:szCs w:val="24"/>
        </w:rPr>
        <w:t xml:space="preserve"> лекарственного препарата</w:t>
      </w:r>
      <w:r w:rsidRPr="005B6C50">
        <w:rPr>
          <w:rFonts w:ascii="Arial Narrow" w:hAnsi="Arial Narrow" w:cs="Times New Roman"/>
          <w:b/>
          <w:sz w:val="24"/>
          <w:szCs w:val="24"/>
        </w:rPr>
        <w:t>:</w:t>
      </w:r>
      <w:r w:rsidR="00193ACC" w:rsidRPr="005B6C50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80706F" w:rsidRPr="005B6C50" w:rsidRDefault="00C02C45" w:rsidP="005B6C50">
      <w:pPr>
        <w:rPr>
          <w:rFonts w:ascii="Arial Narrow" w:hAnsi="Arial Narrow" w:cs="Times New Roman"/>
          <w:sz w:val="24"/>
          <w:szCs w:val="24"/>
        </w:rPr>
      </w:pPr>
      <w:proofErr w:type="spellStart"/>
      <w:r w:rsidRPr="005B6C50">
        <w:rPr>
          <w:rFonts w:ascii="Arial Narrow" w:hAnsi="Arial Narrow" w:cs="Times New Roman"/>
          <w:sz w:val="24"/>
          <w:szCs w:val="24"/>
        </w:rPr>
        <w:t>Гепатопротекторное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средство</w:t>
      </w:r>
    </w:p>
    <w:p w:rsidR="00C02C45" w:rsidRPr="005B6C50" w:rsidRDefault="00C10379" w:rsidP="005B6C50">
      <w:pPr>
        <w:rPr>
          <w:rFonts w:ascii="Arial Narrow" w:hAnsi="Arial Narrow" w:cs="Times New Roman"/>
          <w:b/>
          <w:bCs/>
          <w:sz w:val="24"/>
          <w:szCs w:val="24"/>
        </w:rPr>
      </w:pPr>
      <w:r w:rsidRPr="005B6C50">
        <w:rPr>
          <w:rFonts w:ascii="Arial Narrow" w:hAnsi="Arial Narrow" w:cs="Times New Roman"/>
          <w:b/>
          <w:sz w:val="24"/>
          <w:szCs w:val="24"/>
        </w:rPr>
        <w:t>Код АТХ</w:t>
      </w:r>
      <w:r w:rsidRPr="005B6C50">
        <w:rPr>
          <w:rFonts w:ascii="Arial Narrow" w:hAnsi="Arial Narrow" w:cs="Times New Roman"/>
          <w:sz w:val="24"/>
          <w:szCs w:val="24"/>
        </w:rPr>
        <w:t>:</w:t>
      </w:r>
      <w:r w:rsidRPr="005B6C5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02C45" w:rsidRPr="005B6C50">
        <w:rPr>
          <w:rFonts w:ascii="Arial Narrow" w:hAnsi="Arial Narrow" w:cs="Times New Roman"/>
          <w:sz w:val="24"/>
          <w:szCs w:val="24"/>
        </w:rPr>
        <w:t>[А05АА02]</w:t>
      </w:r>
    </w:p>
    <w:p w:rsidR="00C10379" w:rsidRPr="005B6C50" w:rsidRDefault="005B6C50" w:rsidP="005B6C50">
      <w:pPr>
        <w:rPr>
          <w:rFonts w:ascii="Arial Narrow" w:hAnsi="Arial Narrow" w:cs="Times New Roman"/>
          <w:b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color w:val="00CC00"/>
          <w:sz w:val="24"/>
          <w:szCs w:val="24"/>
        </w:rPr>
        <w:t>ФАРМАКОЛОГИЧЕСКИЕ СВОЙСТВА</w:t>
      </w:r>
    </w:p>
    <w:p w:rsidR="00C10379" w:rsidRPr="005B6C50" w:rsidRDefault="00DE5596" w:rsidP="005B6C50">
      <w:pPr>
        <w:shd w:val="clear" w:color="auto" w:fill="FFFFFF"/>
        <w:ind w:left="29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i/>
          <w:iCs/>
          <w:sz w:val="24"/>
          <w:szCs w:val="24"/>
        </w:rPr>
        <w:t>Фармакодинамика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5B6C50">
        <w:rPr>
          <w:rFonts w:ascii="Arial Narrow" w:hAnsi="Arial Narrow" w:cs="Times New Roman"/>
          <w:sz w:val="24"/>
          <w:szCs w:val="24"/>
        </w:rPr>
        <w:t>Гепатопротекторное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средство, оказывает желчегонное действие. Уменьшает синтез холестерина в печени, всасывание его в кишечнике и концентрацию в желчи, повышает растворимость холестерина в желчевыводящей системе, стимулирует образование и выделение желчи. Снижает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литогенность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желчи, увеличивает в ней содержание желчных кислот; вызывает усиление желудочной и панкреатической секреции, усиливает активность липазы, оказывает гипогликемическое действие. Вызывает частичное или полное растворение холест</w:t>
      </w:r>
      <w:r w:rsidR="002833B5" w:rsidRPr="005B6C50">
        <w:rPr>
          <w:rFonts w:ascii="Arial Narrow" w:hAnsi="Arial Narrow" w:cs="Times New Roman"/>
          <w:sz w:val="24"/>
          <w:szCs w:val="24"/>
        </w:rPr>
        <w:t xml:space="preserve">ериновых камней при </w:t>
      </w:r>
      <w:r w:rsidRPr="005B6C50">
        <w:rPr>
          <w:rFonts w:ascii="Arial Narrow" w:hAnsi="Arial Narrow" w:cs="Times New Roman"/>
          <w:sz w:val="24"/>
          <w:szCs w:val="24"/>
        </w:rPr>
        <w:t>применении</w:t>
      </w:r>
      <w:r w:rsidR="002833B5" w:rsidRPr="005B6C50">
        <w:rPr>
          <w:rFonts w:ascii="Arial Narrow" w:hAnsi="Arial Narrow" w:cs="Times New Roman"/>
          <w:sz w:val="24"/>
          <w:szCs w:val="24"/>
        </w:rPr>
        <w:t xml:space="preserve"> внутрь</w:t>
      </w:r>
      <w:r w:rsidRPr="005B6C50">
        <w:rPr>
          <w:rFonts w:ascii="Arial Narrow" w:hAnsi="Arial Narrow" w:cs="Times New Roman"/>
          <w:sz w:val="24"/>
          <w:szCs w:val="24"/>
        </w:rPr>
        <w:t xml:space="preserve">, уменьшает насыщенность желчи холестерином, что способствует мобилизации холестерина из желчных камней. Оказывает иммуномодулирующее действие, влияет на иммунологические реакции в печени: уменьшает экспрессию некоторых антигенов на мембране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гепатоцитов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>, влияет на количество Т-лимфоцитов, образование интерлейкина-2, уменьшает количество эозинофилов.</w:t>
      </w:r>
    </w:p>
    <w:p w:rsidR="00C10379" w:rsidRPr="005B6C50" w:rsidRDefault="00C10379" w:rsidP="005B6C50">
      <w:pPr>
        <w:ind w:right="1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b/>
          <w:i/>
          <w:iCs/>
          <w:sz w:val="24"/>
          <w:szCs w:val="24"/>
        </w:rPr>
        <w:t>Фармакокинетика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Урсодезоксихолевая кислота (УДХК) абсорбируется в тонкой кишке за счет пассивной диффузии (около 90 %), а в подвздошной кишке посредством активного транспорта. После приема внутрь в разовой дозе (500 мг) максимальная концентрация в сыворотке крови (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Cmax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) через 30, 60, 90 мин составляет 3.8, 5.5, 3.7 ммоль/л соответственно. Связь с белками плазмы - высокая </w:t>
      </w:r>
      <w:r w:rsidR="00087E6E" w:rsidRPr="005B6C50">
        <w:rPr>
          <w:rFonts w:ascii="Arial Narrow" w:hAnsi="Arial Narrow" w:cs="Times New Roman"/>
          <w:sz w:val="24"/>
          <w:szCs w:val="24"/>
        </w:rPr>
        <w:t>–</w:t>
      </w:r>
      <w:r w:rsidRPr="005B6C50">
        <w:rPr>
          <w:rFonts w:ascii="Arial Narrow" w:hAnsi="Arial Narrow" w:cs="Times New Roman"/>
          <w:sz w:val="24"/>
          <w:szCs w:val="24"/>
        </w:rPr>
        <w:t xml:space="preserve"> до 96-99 %. Проникает через плацентарный барьер. При систематическом приеме урсодезоксихолевая кислота становится основной желчной кислотой сыворотки крови (48 % общего содержания желчных кислот). Терапевтический эффект препарата зависит от концентрации УДХК в желчи.</w:t>
      </w:r>
    </w:p>
    <w:p w:rsidR="00C02C45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Метаболизируется в печени (клиренс при "первичном прохождении" через печень) в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тауриновый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и глициновый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конъюгаты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. Образующиеся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конъюгаты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секретируются в желчь. Около 50-70 % общей дозы выводится через кишечник. Незначительное количество </w:t>
      </w:r>
      <w:proofErr w:type="spellStart"/>
      <w:r w:rsidR="004D1A4A" w:rsidRPr="005B6C50">
        <w:rPr>
          <w:rFonts w:ascii="Arial Narrow" w:hAnsi="Arial Narrow" w:cs="Times New Roman"/>
          <w:sz w:val="24"/>
          <w:szCs w:val="24"/>
        </w:rPr>
        <w:t>невсосавшейся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урсодезоксихолевой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кислоты поступает в толстый кишечник, где подвергается расщеплению бактериями </w:t>
      </w:r>
      <w:r w:rsidR="005B6C50">
        <w:rPr>
          <w:rFonts w:ascii="Arial Narrow" w:hAnsi="Arial Narrow" w:cs="Times New Roman"/>
          <w:sz w:val="24"/>
          <w:szCs w:val="24"/>
        </w:rPr>
        <w:br/>
      </w:r>
      <w:r w:rsidRPr="005B6C50">
        <w:rPr>
          <w:rFonts w:ascii="Arial Narrow" w:hAnsi="Arial Narrow" w:cs="Times New Roman"/>
          <w:sz w:val="24"/>
          <w:szCs w:val="24"/>
        </w:rPr>
        <w:t xml:space="preserve">(7-дегидроксилирование); образующаяся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литохолевая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кислота частично всасывается из толстой кишки, но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сульфатируется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в печени и быстро выводится в виде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сульфолитохолилглицинового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или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сульфолитохолилтауринового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конъюгата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>.</w:t>
      </w:r>
    </w:p>
    <w:p w:rsidR="005550DE" w:rsidRPr="005B6C50" w:rsidRDefault="005B6C50" w:rsidP="005B6C50">
      <w:pPr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bCs/>
          <w:color w:val="00CC00"/>
          <w:sz w:val="24"/>
          <w:szCs w:val="24"/>
        </w:rPr>
        <w:t>ПОКАЗАНИЯ К ПРИМЕНЕНИЮ</w:t>
      </w:r>
    </w:p>
    <w:p w:rsidR="00C02C45" w:rsidRPr="005B6C50" w:rsidRDefault="00C02C45" w:rsidP="005B6C50">
      <w:pPr>
        <w:ind w:right="1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Растворение </w:t>
      </w:r>
      <w:r w:rsidR="00963794" w:rsidRPr="005B6C50">
        <w:rPr>
          <w:rFonts w:ascii="Arial Narrow" w:hAnsi="Arial Narrow" w:cs="Times New Roman"/>
          <w:sz w:val="24"/>
          <w:szCs w:val="24"/>
        </w:rPr>
        <w:t xml:space="preserve">мелких и средних </w:t>
      </w:r>
      <w:r w:rsidRPr="005B6C50">
        <w:rPr>
          <w:rFonts w:ascii="Arial Narrow" w:hAnsi="Arial Narrow" w:cs="Times New Roman"/>
          <w:sz w:val="24"/>
          <w:szCs w:val="24"/>
        </w:rPr>
        <w:t xml:space="preserve">холестериновых камней </w:t>
      </w:r>
      <w:r w:rsidR="00963794" w:rsidRPr="005B6C50">
        <w:rPr>
          <w:rFonts w:ascii="Arial Narrow" w:hAnsi="Arial Narrow" w:cs="Times New Roman"/>
          <w:sz w:val="24"/>
          <w:szCs w:val="24"/>
        </w:rPr>
        <w:t>при функционирующем желчном пузыре</w:t>
      </w:r>
      <w:r w:rsidRPr="005B6C50">
        <w:rPr>
          <w:rFonts w:ascii="Arial Narrow" w:hAnsi="Arial Narrow" w:cs="Times New Roman"/>
          <w:sz w:val="24"/>
          <w:szCs w:val="24"/>
        </w:rPr>
        <w:t xml:space="preserve">, первичный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билиарный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цирроз печени при отсутствии признаков декомпенсации (симптоматическое лечение). </w:t>
      </w:r>
    </w:p>
    <w:p w:rsidR="00547FBC" w:rsidRPr="005B6C50" w:rsidRDefault="00C02C45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lastRenderedPageBreak/>
        <w:t xml:space="preserve">Хронические гепатиты различного генеза, первичный склерозирующий холангит, кистозный фиброз (муковисцидоз), неалкогольный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стеатогепатит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>, алкогольная болезнь печени, дискинезия желчевыводящих путей.</w:t>
      </w:r>
    </w:p>
    <w:p w:rsidR="003F6614" w:rsidRPr="005B6C50" w:rsidRDefault="005B6C50" w:rsidP="005B6C50">
      <w:pPr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color w:val="00CC00"/>
          <w:sz w:val="24"/>
          <w:szCs w:val="24"/>
        </w:rPr>
        <w:t>ПРОТИВОПОКАЗАНИЯ</w:t>
      </w:r>
    </w:p>
    <w:p w:rsidR="00B40872" w:rsidRPr="005B6C50" w:rsidRDefault="00B40872" w:rsidP="005B6C50">
      <w:pPr>
        <w:jc w:val="both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5B6C50">
        <w:rPr>
          <w:rFonts w:ascii="Arial Narrow" w:hAnsi="Arial Narrow" w:cs="Times New Roman"/>
          <w:sz w:val="24"/>
          <w:szCs w:val="24"/>
        </w:rPr>
        <w:t>Рентгенположительные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(с высоким содержанием кальция) желчные камни, </w:t>
      </w:r>
    </w:p>
    <w:p w:rsidR="00B40872" w:rsidRPr="005B6C50" w:rsidRDefault="00B40872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нарушения сократительной способности желчного пузыря и желчных протоков, окклюзия желчных путей, частые эпизоды желчной колики, </w:t>
      </w:r>
    </w:p>
    <w:p w:rsidR="00B40872" w:rsidRPr="005B6C50" w:rsidRDefault="00B40872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повышенная чувствительность к компонентам препарата или другим желчным кислотам, цирроз печени в стадии декомпенсации и выраженная печеночная и почечная недостаточность, детский возраст до 3-х лет (для </w:t>
      </w:r>
      <w:r w:rsidR="00372627" w:rsidRPr="005B6C50">
        <w:rPr>
          <w:rFonts w:ascii="Arial Narrow" w:hAnsi="Arial Narrow" w:cs="Times New Roman"/>
          <w:sz w:val="24"/>
          <w:szCs w:val="24"/>
        </w:rPr>
        <w:t>твердых лекарственных форм).</w:t>
      </w:r>
    </w:p>
    <w:p w:rsidR="00674319" w:rsidRPr="005B6C50" w:rsidRDefault="00B40872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В педиатрической популяции противопоказаниями являются неудачно выполненная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портоэнтеростомия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или случаи отсутствия восстановления нормального оттока желчи у детей с атрезией желчевыводящих путей. Детям в возрасте до 3 лет, а также пациентам с затруднением при проглатывании твердых лекарственных форм, рекомендуется применять препараты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урсодезоксихолевой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кислоты в виде суспензии.</w:t>
      </w:r>
    </w:p>
    <w:p w:rsidR="00860409" w:rsidRPr="005B6C50" w:rsidRDefault="005B6C50" w:rsidP="005B6C50">
      <w:pPr>
        <w:widowControl/>
        <w:autoSpaceDE/>
        <w:autoSpaceDN/>
        <w:adjustRightInd/>
        <w:jc w:val="both"/>
        <w:rPr>
          <w:rFonts w:ascii="Arial Narrow" w:hAnsi="Arial Narrow" w:cs="Times New Roman"/>
          <w:b/>
          <w:i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i/>
          <w:color w:val="00CC00"/>
          <w:sz w:val="24"/>
          <w:szCs w:val="24"/>
        </w:rPr>
        <w:t>С ОСТОРОЖНОСТЬЮ</w:t>
      </w:r>
    </w:p>
    <w:p w:rsidR="00860409" w:rsidRPr="005B6C50" w:rsidRDefault="00860409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Применять с осторожностью при следующих состояниях:</w:t>
      </w:r>
    </w:p>
    <w:p w:rsidR="00486D7E" w:rsidRPr="005B6C50" w:rsidRDefault="00860409" w:rsidP="005B6C50">
      <w:pPr>
        <w:widowControl/>
        <w:autoSpaceDE/>
        <w:autoSpaceDN/>
        <w:adjustRightInd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п</w:t>
      </w:r>
      <w:r w:rsidR="00004AC5" w:rsidRPr="005B6C50">
        <w:rPr>
          <w:rFonts w:ascii="Arial Narrow" w:hAnsi="Arial Narrow" w:cs="Times New Roman"/>
          <w:sz w:val="24"/>
          <w:szCs w:val="24"/>
        </w:rPr>
        <w:t>ри желчнокаменной болезни, при холестатических заболеваниях печени</w:t>
      </w:r>
      <w:r w:rsidR="00582360" w:rsidRPr="005B6C50">
        <w:rPr>
          <w:rFonts w:ascii="Arial Narrow" w:hAnsi="Arial Narrow" w:cs="Times New Roman"/>
          <w:sz w:val="24"/>
          <w:szCs w:val="24"/>
        </w:rPr>
        <w:t xml:space="preserve"> (см. раздел «Особые указания»)</w:t>
      </w:r>
      <w:r w:rsidR="00004AC5" w:rsidRPr="005B6C50">
        <w:rPr>
          <w:rFonts w:ascii="Arial Narrow" w:hAnsi="Arial Narrow" w:cs="Times New Roman"/>
          <w:sz w:val="24"/>
          <w:szCs w:val="24"/>
        </w:rPr>
        <w:t>.</w:t>
      </w:r>
    </w:p>
    <w:p w:rsidR="001B4BB1" w:rsidRPr="005B6C50" w:rsidRDefault="005B6C50" w:rsidP="005B6C50">
      <w:pPr>
        <w:jc w:val="both"/>
        <w:rPr>
          <w:rFonts w:ascii="Arial Narrow" w:hAnsi="Arial Narrow" w:cs="Times New Roman"/>
          <w:b/>
          <w:i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i/>
          <w:color w:val="00CC00"/>
          <w:sz w:val="24"/>
          <w:szCs w:val="24"/>
        </w:rPr>
        <w:t>ПРИМЕНЕНИЕ ПРИ БЕРЕМЕННОСТИ И В ПЕРИОД ГРУДНОГО ВСКАРМЛИВАНИЯ</w:t>
      </w:r>
    </w:p>
    <w:p w:rsidR="00915EA8" w:rsidRPr="005B6C50" w:rsidRDefault="001D09A0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Препарат противопоказан </w:t>
      </w:r>
      <w:r w:rsidR="000207C3" w:rsidRPr="005B6C50">
        <w:rPr>
          <w:rFonts w:ascii="Arial Narrow" w:hAnsi="Arial Narrow" w:cs="Times New Roman"/>
          <w:sz w:val="24"/>
          <w:szCs w:val="24"/>
        </w:rPr>
        <w:t>в период беременности и грудного вскармливания</w:t>
      </w:r>
      <w:r w:rsidRPr="005B6C50">
        <w:rPr>
          <w:rFonts w:ascii="Arial Narrow" w:hAnsi="Arial Narrow" w:cs="Times New Roman"/>
          <w:sz w:val="24"/>
          <w:szCs w:val="24"/>
        </w:rPr>
        <w:t xml:space="preserve">. </w:t>
      </w:r>
    </w:p>
    <w:p w:rsidR="003F6614" w:rsidRPr="005B6C50" w:rsidRDefault="005B6C50" w:rsidP="005B6C50">
      <w:pPr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5B6C50">
        <w:rPr>
          <w:rFonts w:ascii="Arial Narrow" w:hAnsi="Arial Narrow" w:cs="Times New Roman"/>
          <w:b/>
          <w:color w:val="00CC00"/>
          <w:sz w:val="24"/>
          <w:szCs w:val="24"/>
        </w:rPr>
        <w:t>СПОСОБ ПРИМЕНЕНИЯ И ДОЗЫ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iCs/>
          <w:sz w:val="24"/>
          <w:szCs w:val="24"/>
        </w:rPr>
      </w:pPr>
      <w:r w:rsidRPr="005B6C50">
        <w:rPr>
          <w:rFonts w:ascii="Arial Narrow" w:hAnsi="Arial Narrow" w:cs="Times New Roman"/>
          <w:iCs/>
          <w:sz w:val="24"/>
          <w:szCs w:val="24"/>
        </w:rPr>
        <w:t>Внутрь.</w:t>
      </w:r>
    </w:p>
    <w:p w:rsidR="00915EA8" w:rsidRPr="005B6C50" w:rsidRDefault="00915EA8" w:rsidP="005B6C50">
      <w:pPr>
        <w:shd w:val="clear" w:color="auto" w:fill="FFFFFF"/>
        <w:ind w:right="29"/>
        <w:jc w:val="both"/>
        <w:rPr>
          <w:rFonts w:ascii="Arial Narrow" w:hAnsi="Arial Narrow" w:cs="Times New Roman"/>
          <w:color w:val="000000"/>
          <w:spacing w:val="-5"/>
          <w:sz w:val="24"/>
          <w:szCs w:val="24"/>
        </w:rPr>
      </w:pPr>
      <w:r w:rsidRPr="005B6C50">
        <w:rPr>
          <w:rFonts w:ascii="Arial Narrow" w:hAnsi="Arial Narrow" w:cs="Times New Roman"/>
          <w:i/>
          <w:iCs/>
          <w:sz w:val="24"/>
          <w:szCs w:val="24"/>
        </w:rPr>
        <w:t>Растворение холестериновых желчных камней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Рекомендуемая (приблизительная) доза составляет 10 мг урсодезоксихолевой кислоты на 1 кг массы тела в сутки. Препарат необходимо принимать ежедневно вечером, перед сном (капсулы не разжевывают), запивая небольшим количеством жидкости. </w:t>
      </w:r>
    </w:p>
    <w:p w:rsidR="003B3466" w:rsidRPr="005B6C50" w:rsidRDefault="003B3466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Для растворения желчных камней обычно требуется 6 – 24 месяцев. Если после 12 месяцев лечения размер камней не уменьшается, то лечение следует прекратить.</w:t>
      </w:r>
    </w:p>
    <w:p w:rsidR="0067489C" w:rsidRPr="005B6C50" w:rsidRDefault="0067489C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Эффективность лечения следует оценивать каждые 6 месяцев при ультразвуковом исследовании или рентгенографии. В ходе промежуточного обследования следует оценить, не произошло ли обызвествление камней за истекший период. В случае обызвествления камней, лечение следует прекратить.</w:t>
      </w:r>
    </w:p>
    <w:p w:rsidR="0067489C" w:rsidRPr="005B6C50" w:rsidRDefault="0067489C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Для профилактики повторного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холелитиаза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рекомендован прием препарата в течение нескольких месяцев после растворения камней.</w:t>
      </w:r>
    </w:p>
    <w:p w:rsidR="00915EA8" w:rsidRPr="005B6C50" w:rsidRDefault="00915EA8" w:rsidP="005B6C50">
      <w:pPr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5B6C50">
        <w:rPr>
          <w:rFonts w:ascii="Arial Narrow" w:hAnsi="Arial Narrow" w:cs="Times New Roman"/>
          <w:i/>
          <w:iCs/>
          <w:sz w:val="24"/>
          <w:szCs w:val="24"/>
        </w:rPr>
        <w:t xml:space="preserve">Симптоматическое лечение первичного </w:t>
      </w:r>
      <w:proofErr w:type="spellStart"/>
      <w:r w:rsidRPr="005B6C50">
        <w:rPr>
          <w:rFonts w:ascii="Arial Narrow" w:hAnsi="Arial Narrow" w:cs="Times New Roman"/>
          <w:i/>
          <w:iCs/>
          <w:sz w:val="24"/>
          <w:szCs w:val="24"/>
        </w:rPr>
        <w:t>билиарного</w:t>
      </w:r>
      <w:proofErr w:type="spellEnd"/>
      <w:r w:rsidRPr="005B6C50">
        <w:rPr>
          <w:rFonts w:ascii="Arial Narrow" w:hAnsi="Arial Narrow" w:cs="Times New Roman"/>
          <w:i/>
          <w:iCs/>
          <w:sz w:val="24"/>
          <w:szCs w:val="24"/>
        </w:rPr>
        <w:t xml:space="preserve"> цирроза</w:t>
      </w:r>
    </w:p>
    <w:p w:rsidR="00915EA8" w:rsidRPr="005B6C50" w:rsidRDefault="00915EA8" w:rsidP="005B6C50">
      <w:pPr>
        <w:tabs>
          <w:tab w:val="left" w:pos="6570"/>
        </w:tabs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Суточная доза зависит</w:t>
      </w:r>
      <w:r w:rsidR="00E66B6F" w:rsidRPr="005B6C50">
        <w:rPr>
          <w:rFonts w:ascii="Arial Narrow" w:hAnsi="Arial Narrow" w:cs="Times New Roman"/>
          <w:sz w:val="24"/>
          <w:szCs w:val="24"/>
        </w:rPr>
        <w:t xml:space="preserve"> от массы тела и составляет от 1</w:t>
      </w:r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r w:rsidR="00E66B6F" w:rsidRPr="005B6C50">
        <w:rPr>
          <w:rFonts w:ascii="Arial Narrow" w:hAnsi="Arial Narrow" w:cs="Times New Roman"/>
          <w:sz w:val="24"/>
          <w:szCs w:val="24"/>
        </w:rPr>
        <w:t>до 3</w:t>
      </w:r>
      <w:r w:rsidR="00753892" w:rsidRPr="005B6C50">
        <w:rPr>
          <w:rFonts w:ascii="Arial Narrow" w:hAnsi="Arial Narrow" w:cs="Times New Roman"/>
          <w:sz w:val="24"/>
          <w:szCs w:val="24"/>
        </w:rPr>
        <w:t xml:space="preserve"> капсул</w:t>
      </w:r>
      <w:r w:rsidR="00E66B6F" w:rsidRPr="005B6C50">
        <w:rPr>
          <w:rFonts w:ascii="Arial Narrow" w:hAnsi="Arial Narrow" w:cs="Times New Roman"/>
          <w:sz w:val="24"/>
          <w:szCs w:val="24"/>
        </w:rPr>
        <w:t xml:space="preserve"> (500 мг) </w:t>
      </w:r>
      <w:r w:rsidR="00753892" w:rsidRPr="005B6C50">
        <w:rPr>
          <w:rFonts w:ascii="Arial Narrow" w:hAnsi="Arial Narrow" w:cs="Times New Roman"/>
          <w:sz w:val="24"/>
          <w:szCs w:val="24"/>
        </w:rPr>
        <w:t xml:space="preserve">(примерно от 10 до </w:t>
      </w:r>
      <w:r w:rsidRPr="005B6C50">
        <w:rPr>
          <w:rFonts w:ascii="Arial Narrow" w:hAnsi="Arial Narrow" w:cs="Times New Roman"/>
          <w:sz w:val="24"/>
          <w:szCs w:val="24"/>
        </w:rPr>
        <w:t>15 мг урсодезоксихолевой кислоты на 1 кг</w:t>
      </w:r>
      <w:r w:rsidR="00753892" w:rsidRPr="005B6C50">
        <w:rPr>
          <w:rFonts w:ascii="Arial Narrow" w:hAnsi="Arial Narrow" w:cs="Times New Roman"/>
          <w:sz w:val="24"/>
          <w:szCs w:val="24"/>
        </w:rPr>
        <w:t xml:space="preserve"> массы тела) в 2</w:t>
      </w:r>
      <w:r w:rsidR="001D7FAC" w:rsidRPr="005B6C50">
        <w:rPr>
          <w:rFonts w:ascii="Arial Narrow" w:hAnsi="Arial Narrow" w:cs="Times New Roman"/>
          <w:sz w:val="24"/>
          <w:szCs w:val="24"/>
        </w:rPr>
        <w:t xml:space="preserve"> </w:t>
      </w:r>
      <w:r w:rsidR="00ED0293" w:rsidRPr="005B6C50">
        <w:rPr>
          <w:rFonts w:ascii="Arial Narrow" w:hAnsi="Arial Narrow" w:cs="Times New Roman"/>
          <w:sz w:val="24"/>
          <w:szCs w:val="24"/>
        </w:rPr>
        <w:t>-</w:t>
      </w:r>
      <w:r w:rsidR="001D7FAC" w:rsidRPr="005B6C50">
        <w:rPr>
          <w:rFonts w:ascii="Arial Narrow" w:hAnsi="Arial Narrow" w:cs="Times New Roman"/>
          <w:sz w:val="24"/>
          <w:szCs w:val="24"/>
        </w:rPr>
        <w:t xml:space="preserve"> 3 приема, первые 3 месяца лечения. После улучшения функциональных показателей печени, суточную дозу можно применять один раз вечером. Продолжительность курса лечения не ограничена. В редких случаях в начале лечения могут ухудшиться клинические симптомы (участит</w:t>
      </w:r>
      <w:r w:rsidR="003A5299" w:rsidRPr="005B6C50">
        <w:rPr>
          <w:rFonts w:ascii="Arial Narrow" w:hAnsi="Arial Narrow" w:cs="Times New Roman"/>
          <w:sz w:val="24"/>
          <w:szCs w:val="24"/>
        </w:rPr>
        <w:t>ь</w:t>
      </w:r>
      <w:r w:rsidR="001D7FAC" w:rsidRPr="005B6C50">
        <w:rPr>
          <w:rFonts w:ascii="Arial Narrow" w:hAnsi="Arial Narrow" w:cs="Times New Roman"/>
          <w:sz w:val="24"/>
          <w:szCs w:val="24"/>
        </w:rPr>
        <w:t>ся зуд). В этом случае следует уменьшить суточную дозу (до 250 мг), а далее постепенно повышать ее (еженедельно увеличивая суточную дозу) до тех пор, пока не будет достигнут рекомендованный режим дозирования</w:t>
      </w:r>
      <w:r w:rsidR="00372627" w:rsidRPr="005B6C50">
        <w:rPr>
          <w:rFonts w:ascii="Arial Narrow" w:hAnsi="Arial Narrow" w:cs="Times New Roman"/>
          <w:sz w:val="24"/>
          <w:szCs w:val="24"/>
        </w:rPr>
        <w:t>.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b/>
          <w:bCs/>
          <w:color w:val="000000"/>
          <w:spacing w:val="-12"/>
          <w:sz w:val="24"/>
          <w:szCs w:val="24"/>
        </w:rPr>
      </w:pPr>
      <w:r w:rsidRPr="005B6C50">
        <w:rPr>
          <w:rFonts w:ascii="Arial Narrow" w:hAnsi="Arial Narrow" w:cs="Times New Roman"/>
          <w:i/>
          <w:color w:val="000000"/>
          <w:sz w:val="24"/>
          <w:szCs w:val="24"/>
        </w:rPr>
        <w:t xml:space="preserve">При хронических гепатитах различного генеза, неалкогольном </w:t>
      </w:r>
      <w:proofErr w:type="spellStart"/>
      <w:r w:rsidRPr="005B6C50">
        <w:rPr>
          <w:rFonts w:ascii="Arial Narrow" w:hAnsi="Arial Narrow" w:cs="Times New Roman"/>
          <w:i/>
          <w:color w:val="000000"/>
          <w:sz w:val="24"/>
          <w:szCs w:val="24"/>
        </w:rPr>
        <w:t>стеатогепатите</w:t>
      </w:r>
      <w:proofErr w:type="spellEnd"/>
      <w:r w:rsidRPr="005B6C50">
        <w:rPr>
          <w:rFonts w:ascii="Arial Narrow" w:hAnsi="Arial Narrow" w:cs="Times New Roman"/>
          <w:i/>
          <w:color w:val="000000"/>
          <w:sz w:val="24"/>
          <w:szCs w:val="24"/>
        </w:rPr>
        <w:t xml:space="preserve"> и алкогольной болезни печени</w:t>
      </w:r>
    </w:p>
    <w:p w:rsidR="00915EA8" w:rsidRPr="005B6C50" w:rsidRDefault="00915EA8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t xml:space="preserve">Средняя суточная доза составляет от </w:t>
      </w:r>
      <w:r w:rsidRPr="005B6C50">
        <w:rPr>
          <w:rFonts w:ascii="Arial Narrow" w:hAnsi="Arial Narrow" w:cs="Times New Roman"/>
          <w:sz w:val="24"/>
          <w:szCs w:val="24"/>
        </w:rPr>
        <w:t>10 до 15 мг урсодезоксихолевой</w:t>
      </w:r>
      <w:r w:rsidR="008222FE" w:rsidRPr="005B6C50">
        <w:rPr>
          <w:rFonts w:ascii="Arial Narrow" w:hAnsi="Arial Narrow" w:cs="Times New Roman"/>
          <w:sz w:val="24"/>
          <w:szCs w:val="24"/>
        </w:rPr>
        <w:t xml:space="preserve"> кислоты на 1 кг массы тела в 2</w:t>
      </w:r>
      <w:r w:rsidR="00ED0293" w:rsidRPr="005B6C50">
        <w:rPr>
          <w:rFonts w:ascii="Arial Narrow" w:hAnsi="Arial Narrow" w:cs="Times New Roman"/>
          <w:sz w:val="24"/>
          <w:szCs w:val="24"/>
        </w:rPr>
        <w:t>-</w:t>
      </w:r>
      <w:r w:rsidRPr="005B6C50">
        <w:rPr>
          <w:rFonts w:ascii="Arial Narrow" w:hAnsi="Arial Narrow" w:cs="Times New Roman"/>
          <w:sz w:val="24"/>
          <w:szCs w:val="24"/>
        </w:rPr>
        <w:t xml:space="preserve">3 приема. Длительность терапии составляет </w:t>
      </w:r>
      <w:r w:rsidR="008222FE" w:rsidRPr="005B6C50">
        <w:rPr>
          <w:rFonts w:ascii="Arial Narrow" w:hAnsi="Arial Narrow" w:cs="Times New Roman"/>
          <w:sz w:val="24"/>
          <w:szCs w:val="24"/>
        </w:rPr>
        <w:t>6</w:t>
      </w:r>
      <w:r w:rsidR="00ED0293" w:rsidRPr="005B6C50">
        <w:rPr>
          <w:rFonts w:ascii="Arial Narrow" w:hAnsi="Arial Narrow" w:cs="Times New Roman"/>
          <w:sz w:val="24"/>
          <w:szCs w:val="24"/>
        </w:rPr>
        <w:t>-</w:t>
      </w:r>
      <w:r w:rsidRPr="005B6C50">
        <w:rPr>
          <w:rFonts w:ascii="Arial Narrow" w:hAnsi="Arial Narrow" w:cs="Times New Roman"/>
          <w:sz w:val="24"/>
          <w:szCs w:val="24"/>
        </w:rPr>
        <w:t>12 месяцев и более.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i/>
          <w:sz w:val="24"/>
          <w:szCs w:val="24"/>
        </w:rPr>
      </w:pPr>
      <w:r w:rsidRPr="005B6C50">
        <w:rPr>
          <w:rFonts w:ascii="Arial Narrow" w:hAnsi="Arial Narrow" w:cs="Times New Roman"/>
          <w:i/>
          <w:color w:val="000000"/>
          <w:sz w:val="24"/>
          <w:szCs w:val="24"/>
        </w:rPr>
        <w:t>При</w:t>
      </w:r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r w:rsidRPr="005B6C50">
        <w:rPr>
          <w:rFonts w:ascii="Arial Narrow" w:hAnsi="Arial Narrow" w:cs="Times New Roman"/>
          <w:i/>
          <w:sz w:val="24"/>
          <w:szCs w:val="24"/>
        </w:rPr>
        <w:t xml:space="preserve">первичном </w:t>
      </w:r>
      <w:proofErr w:type="spellStart"/>
      <w:r w:rsidRPr="005B6C50">
        <w:rPr>
          <w:rFonts w:ascii="Arial Narrow" w:hAnsi="Arial Narrow" w:cs="Times New Roman"/>
          <w:i/>
          <w:sz w:val="24"/>
          <w:szCs w:val="24"/>
        </w:rPr>
        <w:t>склерозирующем</w:t>
      </w:r>
      <w:proofErr w:type="spellEnd"/>
      <w:r w:rsidRPr="005B6C50">
        <w:rPr>
          <w:rFonts w:ascii="Arial Narrow" w:hAnsi="Arial Narrow" w:cs="Times New Roman"/>
          <w:i/>
          <w:sz w:val="24"/>
          <w:szCs w:val="24"/>
        </w:rPr>
        <w:t xml:space="preserve"> холангите, кистозном фиброзе (муковисцидозе)</w:t>
      </w:r>
    </w:p>
    <w:p w:rsidR="001B08E6" w:rsidRPr="005B6C50" w:rsidRDefault="001B08E6" w:rsidP="005B6C50">
      <w:pPr>
        <w:shd w:val="clear" w:color="auto" w:fill="FFFFFF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t xml:space="preserve">При первичном </w:t>
      </w:r>
      <w:proofErr w:type="spellStart"/>
      <w:r w:rsidRPr="005B6C50">
        <w:rPr>
          <w:rFonts w:ascii="Arial Narrow" w:hAnsi="Arial Narrow" w:cs="Times New Roman"/>
          <w:color w:val="000000"/>
          <w:sz w:val="24"/>
          <w:szCs w:val="24"/>
        </w:rPr>
        <w:t>склерозирующем</w:t>
      </w:r>
      <w:proofErr w:type="spellEnd"/>
      <w:r w:rsidRPr="005B6C50">
        <w:rPr>
          <w:rFonts w:ascii="Arial Narrow" w:hAnsi="Arial Narrow" w:cs="Times New Roman"/>
          <w:color w:val="000000"/>
          <w:sz w:val="24"/>
          <w:szCs w:val="24"/>
        </w:rPr>
        <w:t xml:space="preserve"> холангите: 12-15 мг/кг/</w:t>
      </w:r>
      <w:proofErr w:type="spellStart"/>
      <w:r w:rsidRPr="005B6C50">
        <w:rPr>
          <w:rFonts w:ascii="Arial Narrow" w:hAnsi="Arial Narrow" w:cs="Times New Roman"/>
          <w:color w:val="000000"/>
          <w:sz w:val="24"/>
          <w:szCs w:val="24"/>
        </w:rPr>
        <w:t>сут</w:t>
      </w:r>
      <w:proofErr w:type="spellEnd"/>
      <w:r w:rsidRPr="005B6C50">
        <w:rPr>
          <w:rFonts w:ascii="Arial Narrow" w:hAnsi="Arial Narrow" w:cs="Times New Roman"/>
          <w:color w:val="000000"/>
          <w:sz w:val="24"/>
          <w:szCs w:val="24"/>
        </w:rPr>
        <w:t xml:space="preserve"> (до 20 мг/кг) массы тела в сутки в 2-3 приема. Длительность применения – от 6 месяцев до нескольких лет.</w:t>
      </w:r>
    </w:p>
    <w:p w:rsidR="001B08E6" w:rsidRPr="005B6C50" w:rsidRDefault="001B08E6" w:rsidP="005B6C50">
      <w:pPr>
        <w:shd w:val="clear" w:color="auto" w:fill="FFFFFF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t xml:space="preserve">При </w:t>
      </w:r>
      <w:r w:rsidRPr="005B6C50">
        <w:rPr>
          <w:rFonts w:ascii="Arial Narrow" w:hAnsi="Arial Narrow" w:cs="Times New Roman"/>
          <w:sz w:val="24"/>
          <w:szCs w:val="24"/>
        </w:rPr>
        <w:t xml:space="preserve">кистозном фиброзе (муковисцидозе): по 20-30 мг/кг в сутки в 2-3 приема. </w:t>
      </w:r>
      <w:r w:rsidRPr="005B6C50">
        <w:rPr>
          <w:rFonts w:ascii="Arial Narrow" w:hAnsi="Arial Narrow" w:cs="Times New Roman"/>
          <w:color w:val="000000"/>
          <w:sz w:val="24"/>
          <w:szCs w:val="24"/>
        </w:rPr>
        <w:t>Длительность применения – от 6 месяцев до нескольких лет.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i/>
          <w:sz w:val="24"/>
          <w:szCs w:val="24"/>
        </w:rPr>
        <w:t>При дискинезии желчевыводящих путей</w:t>
      </w:r>
    </w:p>
    <w:p w:rsidR="00915EA8" w:rsidRPr="005B6C50" w:rsidRDefault="00915EA8" w:rsidP="005B6C50">
      <w:pPr>
        <w:shd w:val="clear" w:color="auto" w:fill="FFFFFF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lastRenderedPageBreak/>
        <w:t xml:space="preserve">Средняя суточная доза составляет 10 мг </w:t>
      </w:r>
      <w:r w:rsidRPr="005B6C50">
        <w:rPr>
          <w:rFonts w:ascii="Arial Narrow" w:hAnsi="Arial Narrow" w:cs="Times New Roman"/>
          <w:sz w:val="24"/>
          <w:szCs w:val="24"/>
        </w:rPr>
        <w:t>урсодезоксихолевой кислоты на 1 кг массы тела в 2 приема в течение от 2 недель до 2 месяцев. При необходимости курс лечения необходимо повторить.</w:t>
      </w:r>
    </w:p>
    <w:p w:rsidR="00DB308F" w:rsidRPr="005B6C50" w:rsidRDefault="00670703" w:rsidP="005B6C50">
      <w:pPr>
        <w:jc w:val="both"/>
        <w:rPr>
          <w:rFonts w:ascii="Arial Narrow" w:hAnsi="Arial Narrow" w:cs="Times New Roman"/>
          <w:b/>
          <w:iCs/>
          <w:sz w:val="24"/>
          <w:szCs w:val="24"/>
        </w:rPr>
      </w:pPr>
      <w:r w:rsidRPr="005B6C50">
        <w:rPr>
          <w:rFonts w:ascii="Arial Narrow" w:hAnsi="Arial Narrow" w:cs="Times New Roman"/>
          <w:iCs/>
          <w:sz w:val="24"/>
          <w:szCs w:val="24"/>
        </w:rPr>
        <w:t xml:space="preserve">Режим дозирования </w:t>
      </w:r>
      <w:r w:rsidR="002C072F" w:rsidRPr="005B6C50">
        <w:rPr>
          <w:rFonts w:ascii="Arial Narrow" w:hAnsi="Arial Narrow" w:cs="Times New Roman"/>
          <w:iCs/>
          <w:sz w:val="24"/>
          <w:szCs w:val="24"/>
        </w:rPr>
        <w:t>определяется врачом.</w:t>
      </w:r>
      <w:r w:rsidR="006F7A0A" w:rsidRPr="005B6C50">
        <w:rPr>
          <w:rFonts w:ascii="Arial Narrow" w:hAnsi="Arial Narrow" w:cs="Times New Roman"/>
          <w:b/>
          <w:iCs/>
          <w:sz w:val="24"/>
          <w:szCs w:val="24"/>
        </w:rPr>
        <w:t xml:space="preserve"> </w:t>
      </w:r>
    </w:p>
    <w:p w:rsidR="00915EA8" w:rsidRPr="005B6C50" w:rsidRDefault="00915EA8" w:rsidP="00BD4891">
      <w:pPr>
        <w:shd w:val="clear" w:color="auto" w:fill="FFFFFF"/>
        <w:ind w:left="-142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t>Расчет суточного количества капсул в зависимости от массы тела пациента и рекомендуемой дозы препарата на 1 кг массы тела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687"/>
        <w:gridCol w:w="1674"/>
        <w:gridCol w:w="1671"/>
        <w:gridCol w:w="1735"/>
        <w:gridCol w:w="1600"/>
      </w:tblGrid>
      <w:tr w:rsidR="00915EA8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Масса </w:t>
            </w:r>
          </w:p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тела, кг</w:t>
            </w:r>
          </w:p>
        </w:tc>
        <w:tc>
          <w:tcPr>
            <w:tcW w:w="1687" w:type="dxa"/>
            <w:shd w:val="clear" w:color="auto" w:fill="auto"/>
          </w:tcPr>
          <w:p w:rsidR="00915EA8" w:rsidRPr="005B6C50" w:rsidRDefault="00915EA8" w:rsidP="005B6C50">
            <w:pPr>
              <w:ind w:left="-31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10 </w:t>
            </w:r>
          </w:p>
          <w:p w:rsidR="00915EA8" w:rsidRPr="005B6C50" w:rsidRDefault="00915EA8" w:rsidP="005B6C50">
            <w:pPr>
              <w:ind w:left="-113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мг/кг/сут </w:t>
            </w:r>
          </w:p>
        </w:tc>
        <w:tc>
          <w:tcPr>
            <w:tcW w:w="1674" w:type="dxa"/>
            <w:shd w:val="clear" w:color="auto" w:fill="auto"/>
          </w:tcPr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  <w:p w:rsidR="00915EA8" w:rsidRPr="005B6C50" w:rsidRDefault="00915EA8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мг/кг/сут </w:t>
            </w:r>
          </w:p>
        </w:tc>
        <w:tc>
          <w:tcPr>
            <w:tcW w:w="1671" w:type="dxa"/>
            <w:shd w:val="clear" w:color="auto" w:fill="auto"/>
          </w:tcPr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  <w:p w:rsidR="00915EA8" w:rsidRPr="005B6C50" w:rsidRDefault="00915EA8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мг/кг/сут </w:t>
            </w:r>
          </w:p>
        </w:tc>
        <w:tc>
          <w:tcPr>
            <w:tcW w:w="1735" w:type="dxa"/>
            <w:shd w:val="clear" w:color="auto" w:fill="auto"/>
          </w:tcPr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  <w:p w:rsidR="00915EA8" w:rsidRPr="005B6C50" w:rsidRDefault="00915EA8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мг/кг/сут </w:t>
            </w:r>
          </w:p>
        </w:tc>
        <w:tc>
          <w:tcPr>
            <w:tcW w:w="1600" w:type="dxa"/>
            <w:shd w:val="clear" w:color="auto" w:fill="auto"/>
          </w:tcPr>
          <w:p w:rsidR="00915EA8" w:rsidRPr="005B6C50" w:rsidRDefault="00915EA8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  <w:p w:rsidR="00915EA8" w:rsidRPr="005B6C50" w:rsidRDefault="00915EA8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мг/кг/сут </w:t>
            </w:r>
          </w:p>
        </w:tc>
      </w:tr>
      <w:tr w:rsidR="00DD4737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DD4737" w:rsidRPr="005B6C50" w:rsidRDefault="00DD473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34 – 35</w:t>
            </w:r>
          </w:p>
        </w:tc>
        <w:tc>
          <w:tcPr>
            <w:tcW w:w="1687" w:type="dxa"/>
            <w:shd w:val="clear" w:color="auto" w:fill="auto"/>
          </w:tcPr>
          <w:p w:rsidR="00DD4737" w:rsidRPr="005B6C50" w:rsidRDefault="00B4087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DD4737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1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  <w:r w:rsidR="00DD4737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DD4737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DD4737" w:rsidRPr="005B6C50" w:rsidRDefault="00565517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</w:tr>
      <w:tr w:rsidR="00DD4737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DD4737" w:rsidRPr="005B6C50" w:rsidRDefault="00DD473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36 – 40</w:t>
            </w:r>
          </w:p>
        </w:tc>
        <w:tc>
          <w:tcPr>
            <w:tcW w:w="1687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4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1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735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DD4737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DD4737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DD4737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9B775A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9B775A" w:rsidRPr="005B6C50" w:rsidRDefault="009B775A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41 – 45</w:t>
            </w:r>
          </w:p>
        </w:tc>
        <w:tc>
          <w:tcPr>
            <w:tcW w:w="1687" w:type="dxa"/>
            <w:shd w:val="clear" w:color="auto" w:fill="auto"/>
          </w:tcPr>
          <w:p w:rsidR="009B775A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4" w:type="dxa"/>
            <w:shd w:val="clear" w:color="auto" w:fill="auto"/>
          </w:tcPr>
          <w:p w:rsidR="009B775A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1" w:type="dxa"/>
            <w:shd w:val="clear" w:color="auto" w:fill="auto"/>
          </w:tcPr>
          <w:p w:rsidR="009B775A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9B775A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9B775A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00" w:type="dxa"/>
            <w:shd w:val="clear" w:color="auto" w:fill="auto"/>
          </w:tcPr>
          <w:p w:rsidR="009B775A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BC2C8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45 – 50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912280" w:rsidP="005B6C50">
            <w:pPr>
              <w:ind w:left="-57" w:right="-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51 – 55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912280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755307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56 – 60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912280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 капсула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61 – 65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0F4C13" w:rsidP="005B6C50">
            <w:pPr>
              <w:ind w:left="-57" w:right="-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 капсулы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66 – 70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 капсулы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71 – 75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BC2C89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0F4C13" w:rsidRPr="005B6C50">
              <w:rPr>
                <w:rFonts w:ascii="Arial Narrow" w:hAnsi="Arial Narrow" w:cs="Times New Roman"/>
                <w:sz w:val="24"/>
                <w:szCs w:val="24"/>
              </w:rPr>
              <w:t xml:space="preserve"> капсулы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5517" w:rsidRPr="005B6C50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0F4C13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76 – 80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BC2C89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3306F2" w:rsidRPr="005B6C50">
              <w:rPr>
                <w:rFonts w:ascii="Arial Narrow" w:hAnsi="Arial Narrow" w:cs="Times New Roman"/>
                <w:sz w:val="24"/>
                <w:szCs w:val="24"/>
              </w:rPr>
              <w:t xml:space="preserve"> капсулы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5517" w:rsidRPr="005B6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3306F2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5 капсул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81 – 85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3306F2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5 капсул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86 – 90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BC2C89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5517" w:rsidRPr="005B6C50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91 – 95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96 – 100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BC2C89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5517" w:rsidRPr="005B6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 капсулы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3306F2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6 капсул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101 – 105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3 капсулы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4 капсулы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919AE" w:rsidRPr="005B6C50" w:rsidTr="00A05946">
        <w:trPr>
          <w:jc w:val="center"/>
        </w:trPr>
        <w:tc>
          <w:tcPr>
            <w:tcW w:w="930" w:type="dxa"/>
            <w:shd w:val="clear" w:color="auto" w:fill="auto"/>
          </w:tcPr>
          <w:p w:rsidR="005919AE" w:rsidRPr="005B6C50" w:rsidRDefault="005919AE" w:rsidP="005B6C50">
            <w:pPr>
              <w:ind w:left="-113" w:right="-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105 – 110</w:t>
            </w:r>
          </w:p>
        </w:tc>
        <w:tc>
          <w:tcPr>
            <w:tcW w:w="1687" w:type="dxa"/>
            <w:shd w:val="clear" w:color="auto" w:fill="auto"/>
          </w:tcPr>
          <w:p w:rsidR="005919AE" w:rsidRPr="005B6C50" w:rsidRDefault="003306F2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>2 капсулы</w:t>
            </w:r>
          </w:p>
        </w:tc>
        <w:tc>
          <w:tcPr>
            <w:tcW w:w="1674" w:type="dxa"/>
            <w:shd w:val="clear" w:color="auto" w:fill="auto"/>
          </w:tcPr>
          <w:p w:rsidR="005919AE" w:rsidRPr="005B6C50" w:rsidRDefault="00BC2C89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5517" w:rsidRPr="005B6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00" w:type="dxa"/>
            <w:shd w:val="clear" w:color="auto" w:fill="auto"/>
          </w:tcPr>
          <w:p w:rsidR="005919AE" w:rsidRPr="005B6C50" w:rsidRDefault="00565517" w:rsidP="005B6C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B6C50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5919AE" w:rsidRPr="005B6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:rsidR="0065050F" w:rsidRPr="005B6C50" w:rsidRDefault="00832554" w:rsidP="005B6C50">
      <w:pPr>
        <w:spacing w:before="60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5B6C50">
        <w:rPr>
          <w:rFonts w:ascii="Arial Narrow" w:hAnsi="Arial Narrow" w:cs="Times New Roman"/>
          <w:i/>
          <w:iCs/>
          <w:sz w:val="24"/>
          <w:szCs w:val="24"/>
        </w:rPr>
        <w:t>Для детей от 3 лет</w:t>
      </w:r>
    </w:p>
    <w:p w:rsidR="00832554" w:rsidRPr="005B6C50" w:rsidRDefault="00832554" w:rsidP="005B6C50">
      <w:pPr>
        <w:jc w:val="both"/>
        <w:rPr>
          <w:rFonts w:ascii="Arial Narrow" w:hAnsi="Arial Narrow" w:cs="Times New Roman"/>
          <w:iCs/>
          <w:sz w:val="24"/>
          <w:szCs w:val="24"/>
        </w:rPr>
      </w:pPr>
      <w:r w:rsidRPr="005B6C50">
        <w:rPr>
          <w:rFonts w:ascii="Arial Narrow" w:hAnsi="Arial Narrow" w:cs="Times New Roman"/>
          <w:iCs/>
          <w:sz w:val="24"/>
          <w:szCs w:val="24"/>
        </w:rPr>
        <w:t>Индивидуально (из расчета 10-20 мг/кг в сутки).</w:t>
      </w:r>
    </w:p>
    <w:p w:rsidR="00773293" w:rsidRPr="00BC2C89" w:rsidRDefault="00BC2C89" w:rsidP="005B6C50">
      <w:pPr>
        <w:tabs>
          <w:tab w:val="left" w:pos="756"/>
        </w:tabs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b/>
          <w:bCs/>
          <w:color w:val="00CC00"/>
          <w:sz w:val="24"/>
          <w:szCs w:val="24"/>
        </w:rPr>
        <w:t>ПОБОЧНОЕ ДЕЙСТВИЕ</w:t>
      </w:r>
    </w:p>
    <w:p w:rsidR="00831FA1" w:rsidRPr="005B6C50" w:rsidRDefault="00831FA1" w:rsidP="005B6C50">
      <w:pPr>
        <w:ind w:right="1"/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Диарея, тошнота, боль в эпигастральной области и правом подреберье, кальцинирование желчных камней, повышение активности "печеночных" трансаминаз, аллергические реакции.</w:t>
      </w:r>
    </w:p>
    <w:p w:rsidR="00831FA1" w:rsidRPr="005B6C50" w:rsidRDefault="00831FA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При лечении первичного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билиарного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цирроза может наблюдаться преходящая декомпенсация цирроза печени, которая исчезает после отмены препарата.</w:t>
      </w:r>
    </w:p>
    <w:p w:rsidR="00DB6D64" w:rsidRPr="005B6C50" w:rsidRDefault="00BC2C89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BC2C89">
        <w:rPr>
          <w:rFonts w:ascii="Arial Narrow" w:hAnsi="Arial Narrow" w:cs="Times New Roman"/>
          <w:b/>
          <w:bCs/>
          <w:color w:val="00CC00"/>
          <w:sz w:val="24"/>
          <w:szCs w:val="24"/>
        </w:rPr>
        <w:t>ПЕРЕДОЗИРОВКА</w:t>
      </w:r>
      <w:r w:rsidRPr="00BC2C89">
        <w:rPr>
          <w:rFonts w:ascii="Arial Narrow" w:hAnsi="Arial Narrow" w:cs="Times New Roman"/>
          <w:color w:val="00CC00"/>
          <w:sz w:val="24"/>
          <w:szCs w:val="24"/>
        </w:rPr>
        <w:t xml:space="preserve"> </w:t>
      </w:r>
    </w:p>
    <w:p w:rsidR="00831FA1" w:rsidRPr="005B6C50" w:rsidRDefault="00831FA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Случаев передозировки не выявлено. В случае передозировки проводят симптоматическое лечение.</w:t>
      </w:r>
    </w:p>
    <w:p w:rsidR="00FE72BB" w:rsidRPr="00BC2C89" w:rsidRDefault="00BC2C89" w:rsidP="005B6C50">
      <w:pPr>
        <w:jc w:val="both"/>
        <w:rPr>
          <w:rFonts w:ascii="Arial Narrow" w:hAnsi="Arial Narrow" w:cs="Times New Roman"/>
          <w:b/>
          <w:bCs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b/>
          <w:bCs/>
          <w:color w:val="00CC00"/>
          <w:sz w:val="24"/>
          <w:szCs w:val="24"/>
        </w:rPr>
        <w:t>ВЗАИМОДЕЙСТВИЕ С ДРУГИМИ ЛЕКАРСТВЕННЫМИ СРЕДСТВАМИ</w:t>
      </w:r>
    </w:p>
    <w:p w:rsidR="00831FA1" w:rsidRPr="005B6C50" w:rsidRDefault="00831FA1" w:rsidP="005B6C50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5B6C50">
        <w:rPr>
          <w:rFonts w:ascii="Arial Narrow" w:hAnsi="Arial Narrow" w:cs="Times New Roman"/>
          <w:sz w:val="24"/>
          <w:szCs w:val="24"/>
        </w:rPr>
        <w:t>Колестирамин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колестипол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и антациды, содержащие алюминии гидроксид или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смектит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(алюминия оксид), снижают абсорбцию урсодезоксихолевой кислоты в кишечнике и таким образом уменьшают ее всасывание и эффективность. Если же использование препаратов, содержащих хотя бы одно из этих веществ, все же является необходимым, их нужно принимать минимум за 2 часа до приема препарата Урсодез</w:t>
      </w:r>
      <w:r w:rsidRPr="005B6C50">
        <w:rPr>
          <w:rFonts w:ascii="Arial Narrow" w:hAnsi="Arial Narrow" w:cs="Times New Roman"/>
          <w:sz w:val="24"/>
          <w:szCs w:val="24"/>
          <w:vertAlign w:val="superscript"/>
        </w:rPr>
        <w:t>®</w:t>
      </w:r>
      <w:r w:rsidRPr="005B6C50">
        <w:rPr>
          <w:rFonts w:ascii="Arial Narrow" w:hAnsi="Arial Narrow" w:cs="Times New Roman"/>
          <w:sz w:val="24"/>
          <w:szCs w:val="24"/>
        </w:rPr>
        <w:t>.</w:t>
      </w:r>
    </w:p>
    <w:p w:rsidR="00831FA1" w:rsidRPr="005B6C50" w:rsidRDefault="00831FA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Урсодезоксихолевая кислота может усилить всасывание циклоспорина из кишечника. Поэтому у</w:t>
      </w:r>
      <w:r w:rsidR="00D51F45" w:rsidRPr="005B6C50">
        <w:rPr>
          <w:rFonts w:ascii="Arial Narrow" w:hAnsi="Arial Narrow" w:cs="Times New Roman"/>
          <w:sz w:val="24"/>
          <w:szCs w:val="24"/>
        </w:rPr>
        <w:t xml:space="preserve"> пациентов</w:t>
      </w:r>
      <w:r w:rsidRPr="005B6C50">
        <w:rPr>
          <w:rFonts w:ascii="Arial Narrow" w:hAnsi="Arial Narrow" w:cs="Times New Roman"/>
          <w:sz w:val="24"/>
          <w:szCs w:val="24"/>
        </w:rPr>
        <w:t>, принимающих циклоспорин, врач должен проверить концентрацию циклоспорина в крови и скорректировать дозу циклоспорина в случае необходимости.</w:t>
      </w:r>
    </w:p>
    <w:p w:rsidR="001A45D9" w:rsidRPr="005B6C50" w:rsidRDefault="00831FA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В отдельных случаях Урсодез</w:t>
      </w:r>
      <w:r w:rsidRPr="005B6C50">
        <w:rPr>
          <w:rFonts w:ascii="Arial Narrow" w:hAnsi="Arial Narrow" w:cs="Times New Roman"/>
          <w:sz w:val="24"/>
          <w:szCs w:val="24"/>
          <w:vertAlign w:val="superscript"/>
        </w:rPr>
        <w:t>®</w:t>
      </w:r>
      <w:r w:rsidRPr="005B6C50">
        <w:rPr>
          <w:rFonts w:ascii="Arial Narrow" w:hAnsi="Arial Narrow" w:cs="Times New Roman"/>
          <w:sz w:val="24"/>
          <w:szCs w:val="24"/>
        </w:rPr>
        <w:t xml:space="preserve"> может снижать всасывание ципрофлоксацина. Гиполипидемические лекарственные средства (особенно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клофибрат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), эстрогены,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неомицин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или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прогестины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увеличивают насыщение желчи холестерином и могут снижать способность растворять холестериновые желчные конкременты.</w:t>
      </w:r>
    </w:p>
    <w:p w:rsidR="005D0729" w:rsidRPr="00BC2C89" w:rsidRDefault="00BC2C89" w:rsidP="005B6C50">
      <w:pPr>
        <w:widowControl/>
        <w:autoSpaceDE/>
        <w:autoSpaceDN/>
        <w:adjustRightInd/>
        <w:jc w:val="both"/>
        <w:rPr>
          <w:rFonts w:ascii="Arial Narrow" w:hAnsi="Arial Narrow" w:cs="Times New Roman"/>
          <w:b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b/>
          <w:color w:val="00CC00"/>
          <w:sz w:val="24"/>
          <w:szCs w:val="24"/>
        </w:rPr>
        <w:t>ОСОБЫЕ УКАЗАНИЯ</w:t>
      </w:r>
    </w:p>
    <w:p w:rsidR="004226C1" w:rsidRPr="005B6C50" w:rsidRDefault="004226C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Прием препарата Урсодез</w:t>
      </w:r>
      <w:r w:rsidRPr="005B6C50">
        <w:rPr>
          <w:rFonts w:ascii="Arial Narrow" w:hAnsi="Arial Narrow" w:cs="Times New Roman"/>
          <w:sz w:val="24"/>
          <w:szCs w:val="24"/>
          <w:vertAlign w:val="superscript"/>
        </w:rPr>
        <w:t>®</w:t>
      </w:r>
      <w:r w:rsidRPr="005B6C50">
        <w:rPr>
          <w:rFonts w:ascii="Arial Narrow" w:hAnsi="Arial Narrow" w:cs="Times New Roman"/>
          <w:sz w:val="24"/>
          <w:szCs w:val="24"/>
        </w:rPr>
        <w:t xml:space="preserve"> должен осуществляться под наблюдением врача. В течение первых 3 месяцев лечения следует контролировать функциональные показатели печени (трансаминазы, щелочная фосфатаза и гамма-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глутамилтранспептидаза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>) в</w:t>
      </w:r>
      <w:r w:rsidR="00973EF0" w:rsidRPr="005B6C50">
        <w:rPr>
          <w:rFonts w:ascii="Arial Narrow" w:hAnsi="Arial Narrow" w:cs="Times New Roman"/>
          <w:sz w:val="24"/>
          <w:szCs w:val="24"/>
        </w:rPr>
        <w:t xml:space="preserve"> сыворотке крови каждые 4 недели, а затем каждые 3 месяца.</w:t>
      </w:r>
    </w:p>
    <w:p w:rsidR="00973EF0" w:rsidRPr="005B6C50" w:rsidRDefault="00973EF0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Контроль указанных параметров позволяет выявить нарушения функции печени на ранних стадиях. </w:t>
      </w:r>
      <w:r w:rsidRPr="005B6C50">
        <w:rPr>
          <w:rFonts w:ascii="Arial Narrow" w:hAnsi="Arial Narrow" w:cs="Times New Roman"/>
          <w:sz w:val="24"/>
          <w:szCs w:val="24"/>
        </w:rPr>
        <w:lastRenderedPageBreak/>
        <w:t xml:space="preserve">Также, это касается пациентов на поздних стадиях первичного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билиарного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цирроза. Кроме того, так можно быстро определить, реагирует ли пациент с первичным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билиарным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циррозом на проводимое лечение.</w:t>
      </w:r>
    </w:p>
    <w:p w:rsidR="00973EF0" w:rsidRPr="005B6C50" w:rsidRDefault="00973EF0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При применении для растворения холестериновых желчных камней</w:t>
      </w:r>
      <w:r w:rsidR="00087951" w:rsidRPr="005B6C50">
        <w:rPr>
          <w:rFonts w:ascii="Arial Narrow" w:hAnsi="Arial Narrow" w:cs="Times New Roman"/>
          <w:sz w:val="24"/>
          <w:szCs w:val="24"/>
        </w:rPr>
        <w:t>:</w:t>
      </w:r>
    </w:p>
    <w:p w:rsidR="00973EF0" w:rsidRPr="005B6C50" w:rsidRDefault="00973EF0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Для того чтобы оценить прогресс в лечении и для своевременного выявления признаков кальциноза камней, желчный пузырь следует </w:t>
      </w:r>
      <w:r w:rsidR="00087951" w:rsidRPr="005B6C50">
        <w:rPr>
          <w:rFonts w:ascii="Arial Narrow" w:hAnsi="Arial Narrow" w:cs="Times New Roman"/>
          <w:sz w:val="24"/>
          <w:szCs w:val="24"/>
        </w:rPr>
        <w:t>визуализировать (пероральная холецистография) с осмотром затемнений в положении «стоя» и «лежа на спине» (ультразвуковое исследование) через 6-10 месяцев после начала исследования. Если желчный пузырь невозможно визуализировать на рентгеновских снимках или в случаях кальциноза камней, слабой сократимости желчного пузыря или частых приступов колик, препарат Урсодез</w:t>
      </w:r>
      <w:r w:rsidR="00087951" w:rsidRPr="005B6C50">
        <w:rPr>
          <w:rFonts w:ascii="Arial Narrow" w:hAnsi="Arial Narrow" w:cs="Times New Roman"/>
          <w:sz w:val="24"/>
          <w:szCs w:val="24"/>
          <w:vertAlign w:val="superscript"/>
        </w:rPr>
        <w:t>®</w:t>
      </w:r>
      <w:r w:rsidR="00087951" w:rsidRPr="005B6C50">
        <w:rPr>
          <w:rFonts w:ascii="Arial Narrow" w:hAnsi="Arial Narrow" w:cs="Times New Roman"/>
          <w:sz w:val="24"/>
          <w:szCs w:val="24"/>
        </w:rPr>
        <w:t xml:space="preserve"> применять не следует.</w:t>
      </w:r>
    </w:p>
    <w:p w:rsidR="00087951" w:rsidRPr="005B6C50" w:rsidRDefault="0008795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При лечении пациентов на поздних стадиях первичного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билиарного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цирроза:</w:t>
      </w:r>
    </w:p>
    <w:p w:rsidR="00087951" w:rsidRPr="005B6C50" w:rsidRDefault="0008795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Крайне редко отмечались случаи декомпенсации цирроза печени. После прекращения терапии отмечалась регрессия проявлений декомпенсации.</w:t>
      </w:r>
    </w:p>
    <w:p w:rsidR="00087951" w:rsidRPr="005B6C50" w:rsidRDefault="0008795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Длительная терапия высокими дозами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урсодезоксихолевой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кислоты (28-30 мг/кг/сутки) может привести к развитию серьезных побочных явлений у пациентов с первичным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склерозирующим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</w:t>
      </w:r>
      <w:r w:rsidR="000207C3" w:rsidRPr="005B6C50">
        <w:rPr>
          <w:rFonts w:ascii="Arial Narrow" w:hAnsi="Arial Narrow" w:cs="Times New Roman"/>
          <w:sz w:val="24"/>
          <w:szCs w:val="24"/>
        </w:rPr>
        <w:t>холангитом.</w:t>
      </w:r>
    </w:p>
    <w:p w:rsidR="000207C3" w:rsidRPr="005B6C50" w:rsidRDefault="000207C3" w:rsidP="00BC2C89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У пациентов с диареей следует уменьшить дозировку препарата. При </w:t>
      </w:r>
      <w:proofErr w:type="spellStart"/>
      <w:r w:rsidRPr="005B6C50">
        <w:rPr>
          <w:rFonts w:ascii="Arial Narrow" w:hAnsi="Arial Narrow" w:cs="Times New Roman"/>
          <w:sz w:val="24"/>
          <w:szCs w:val="24"/>
        </w:rPr>
        <w:t>персистирующей</w:t>
      </w:r>
      <w:proofErr w:type="spellEnd"/>
      <w:r w:rsidRPr="005B6C50">
        <w:rPr>
          <w:rFonts w:ascii="Arial Narrow" w:hAnsi="Arial Narrow" w:cs="Times New Roman"/>
          <w:sz w:val="24"/>
          <w:szCs w:val="24"/>
        </w:rPr>
        <w:t xml:space="preserve"> диарее следует прекратить лечение.</w:t>
      </w:r>
    </w:p>
    <w:p w:rsidR="00D93C1B" w:rsidRPr="00BC2C89" w:rsidRDefault="00BC2C89" w:rsidP="005B6C50">
      <w:pPr>
        <w:ind w:right="1"/>
        <w:jc w:val="both"/>
        <w:rPr>
          <w:rFonts w:ascii="Arial Narrow" w:hAnsi="Arial Narrow"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b/>
          <w:iCs/>
          <w:color w:val="00CC00"/>
          <w:sz w:val="24"/>
          <w:szCs w:val="24"/>
        </w:rPr>
        <w:t>ВЛИЯНИЕ НА СПОСОБНОСТЬ К ВОЖДЕНИЮ АВТОТРАНСПОРТА И УПРАВЛЕНИЮ МЕХАНИЗМАМИ</w:t>
      </w:r>
    </w:p>
    <w:p w:rsidR="00D93C1B" w:rsidRPr="00BC2C89" w:rsidRDefault="000207C3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pacing w:val="-1"/>
          <w:sz w:val="24"/>
          <w:szCs w:val="24"/>
        </w:rPr>
        <w:t>Влияние на способность управлять транспортными средствами, механизмами не выявлено.</w:t>
      </w:r>
    </w:p>
    <w:p w:rsidR="00F4618A" w:rsidRPr="005B6C50" w:rsidRDefault="00BC2C89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BC2C89">
        <w:rPr>
          <w:rFonts w:ascii="Arial Narrow" w:hAnsi="Arial Narrow" w:cs="Times New Roman"/>
          <w:b/>
          <w:bCs/>
          <w:color w:val="00CC00"/>
          <w:sz w:val="24"/>
          <w:szCs w:val="24"/>
        </w:rPr>
        <w:t>ФОРМА ВЫПУСКА</w:t>
      </w:r>
    </w:p>
    <w:p w:rsidR="00325B26" w:rsidRPr="005B6C50" w:rsidRDefault="00325B26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По 10 капсул в контурной ячейковой упаковке.</w:t>
      </w:r>
    </w:p>
    <w:p w:rsidR="00325B26" w:rsidRPr="005B6C50" w:rsidRDefault="00325B26" w:rsidP="005B6C50">
      <w:pPr>
        <w:rPr>
          <w:rFonts w:ascii="Arial Narrow" w:hAnsi="Arial Narrow"/>
          <w:sz w:val="24"/>
          <w:szCs w:val="24"/>
        </w:rPr>
      </w:pPr>
      <w:r w:rsidRPr="005B6C50">
        <w:rPr>
          <w:rFonts w:ascii="Arial Narrow" w:hAnsi="Arial Narrow"/>
          <w:sz w:val="24"/>
          <w:szCs w:val="24"/>
        </w:rPr>
        <w:t>По 30, 50 капсул банке полимерной или во флаконе полимерном.</w:t>
      </w:r>
    </w:p>
    <w:p w:rsidR="00972461" w:rsidRPr="005B6C50" w:rsidRDefault="00325B26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/>
          <w:sz w:val="24"/>
          <w:szCs w:val="24"/>
        </w:rPr>
        <w:t>Каждую банку, флакон или 1, 3, 5 контурных ячейковых упаковок вместе с инструкцией по применению помещают в картонную пачку.</w:t>
      </w:r>
    </w:p>
    <w:p w:rsidR="00935DB1" w:rsidRPr="00441455" w:rsidRDefault="00BC2C89" w:rsidP="005B6C50">
      <w:pPr>
        <w:pStyle w:val="a8"/>
        <w:rPr>
          <w:rFonts w:ascii="Arial Narrow" w:hAnsi="Arial Narrow"/>
          <w:color w:val="00CC00"/>
          <w:sz w:val="24"/>
          <w:szCs w:val="24"/>
        </w:rPr>
      </w:pPr>
      <w:r w:rsidRPr="00441455">
        <w:rPr>
          <w:rFonts w:ascii="Arial Narrow" w:hAnsi="Arial Narrow"/>
          <w:b/>
          <w:color w:val="00CC00"/>
          <w:sz w:val="24"/>
          <w:szCs w:val="24"/>
        </w:rPr>
        <w:t xml:space="preserve">СРОК ГОДНОСТИ </w:t>
      </w:r>
    </w:p>
    <w:p w:rsidR="00935DB1" w:rsidRPr="005B6C50" w:rsidRDefault="005F34A8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noProof/>
          <w:sz w:val="24"/>
          <w:szCs w:val="24"/>
        </w:rPr>
        <w:t xml:space="preserve">3 </w:t>
      </w:r>
      <w:r w:rsidRPr="005B6C50">
        <w:rPr>
          <w:rFonts w:ascii="Arial Narrow" w:hAnsi="Arial Narrow" w:cs="Times New Roman"/>
          <w:sz w:val="24"/>
          <w:szCs w:val="24"/>
        </w:rPr>
        <w:t>года</w:t>
      </w:r>
      <w:r w:rsidR="00935DB1" w:rsidRPr="005B6C50">
        <w:rPr>
          <w:rFonts w:ascii="Arial Narrow" w:hAnsi="Arial Narrow" w:cs="Times New Roman"/>
          <w:sz w:val="24"/>
          <w:szCs w:val="24"/>
        </w:rPr>
        <w:t xml:space="preserve">. </w:t>
      </w:r>
    </w:p>
    <w:p w:rsidR="0085086F" w:rsidRPr="005B6C50" w:rsidRDefault="00D93C1B" w:rsidP="00BC2C89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 xml:space="preserve">Не </w:t>
      </w:r>
      <w:r w:rsidRPr="00BC2C89">
        <w:rPr>
          <w:rFonts w:ascii="Arial Narrow" w:hAnsi="Arial Narrow" w:cs="Times New Roman"/>
          <w:sz w:val="24"/>
          <w:szCs w:val="24"/>
        </w:rPr>
        <w:t>применять</w:t>
      </w:r>
      <w:r w:rsidR="00935DB1" w:rsidRPr="005B6C50">
        <w:rPr>
          <w:rFonts w:ascii="Arial Narrow" w:hAnsi="Arial Narrow" w:cs="Times New Roman"/>
          <w:sz w:val="24"/>
          <w:szCs w:val="24"/>
        </w:rPr>
        <w:t xml:space="preserve"> по истечении срока годности, указанного на упаковке.</w:t>
      </w:r>
    </w:p>
    <w:p w:rsidR="00935DB1" w:rsidRPr="00BC2C89" w:rsidRDefault="00BC2C89" w:rsidP="005B6C50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color w:val="00CC00"/>
          <w:sz w:val="24"/>
          <w:szCs w:val="24"/>
        </w:rPr>
        <w:t>УСЛОВИЯ ХРАНЕНИЯ</w:t>
      </w:r>
    </w:p>
    <w:p w:rsidR="00935DB1" w:rsidRPr="005B6C50" w:rsidRDefault="00935DB1" w:rsidP="005B6C50">
      <w:pPr>
        <w:jc w:val="both"/>
        <w:rPr>
          <w:rFonts w:ascii="Arial Narrow" w:hAnsi="Arial Narrow" w:cs="Times New Roman"/>
          <w:sz w:val="24"/>
          <w:szCs w:val="24"/>
        </w:rPr>
      </w:pPr>
      <w:r w:rsidRPr="005B6C50">
        <w:rPr>
          <w:rFonts w:ascii="Arial Narrow" w:hAnsi="Arial Narrow" w:cs="Times New Roman"/>
          <w:sz w:val="24"/>
          <w:szCs w:val="24"/>
        </w:rPr>
        <w:t>В защищенном от света месте</w:t>
      </w:r>
      <w:r w:rsidR="00DE5596" w:rsidRPr="005B6C50">
        <w:rPr>
          <w:rFonts w:ascii="Arial Narrow" w:hAnsi="Arial Narrow" w:cs="Times New Roman"/>
          <w:sz w:val="24"/>
          <w:szCs w:val="24"/>
        </w:rPr>
        <w:t>,</w:t>
      </w:r>
      <w:r w:rsidRPr="005B6C50">
        <w:rPr>
          <w:rFonts w:ascii="Arial Narrow" w:hAnsi="Arial Narrow" w:cs="Times New Roman"/>
          <w:sz w:val="24"/>
          <w:szCs w:val="24"/>
        </w:rPr>
        <w:t xml:space="preserve"> при температуре не выше 25 </w:t>
      </w:r>
      <w:r w:rsidR="000F2E14" w:rsidRPr="005B6C50">
        <w:rPr>
          <w:rFonts w:ascii="Arial Narrow" w:hAnsi="Arial Narrow" w:cs="Times New Roman"/>
          <w:sz w:val="24"/>
          <w:szCs w:val="24"/>
        </w:rPr>
        <w:t>°</w:t>
      </w:r>
      <w:r w:rsidRPr="005B6C50">
        <w:rPr>
          <w:rFonts w:ascii="Arial Narrow" w:hAnsi="Arial Narrow" w:cs="Times New Roman"/>
          <w:sz w:val="24"/>
          <w:szCs w:val="24"/>
        </w:rPr>
        <w:t>С.</w:t>
      </w:r>
    </w:p>
    <w:p w:rsidR="00935DB1" w:rsidRPr="00441455" w:rsidRDefault="00935DB1" w:rsidP="005B6C50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441455">
        <w:rPr>
          <w:rFonts w:ascii="Arial Narrow" w:hAnsi="Arial Narrow" w:cs="Times New Roman"/>
          <w:b/>
          <w:bCs/>
          <w:sz w:val="24"/>
          <w:szCs w:val="24"/>
        </w:rPr>
        <w:t>Хранить в недоступном для детей месте</w:t>
      </w:r>
      <w:r w:rsidR="00720148" w:rsidRPr="00441455">
        <w:rPr>
          <w:rFonts w:ascii="Arial Narrow" w:hAnsi="Arial Narrow" w:cs="Times New Roman"/>
          <w:b/>
          <w:bCs/>
          <w:sz w:val="24"/>
          <w:szCs w:val="24"/>
        </w:rPr>
        <w:t>.</w:t>
      </w:r>
      <w:r w:rsidRPr="0044145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720148" w:rsidRPr="00BC2C89" w:rsidRDefault="00BC2C89" w:rsidP="005B6C50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color w:val="00CC00"/>
          <w:sz w:val="24"/>
          <w:szCs w:val="24"/>
        </w:rPr>
        <w:t xml:space="preserve">УСЛОВИЯ ОТПУСКА </w:t>
      </w:r>
    </w:p>
    <w:p w:rsidR="00916ED1" w:rsidRPr="00BC2C89" w:rsidRDefault="00431485" w:rsidP="00BC2C8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5B6C50">
        <w:rPr>
          <w:rFonts w:ascii="Arial Narrow" w:hAnsi="Arial Narrow" w:cs="Times New Roman"/>
          <w:color w:val="000000"/>
          <w:sz w:val="24"/>
          <w:szCs w:val="24"/>
        </w:rPr>
        <w:t>Отпускают по рецепту.</w:t>
      </w:r>
    </w:p>
    <w:p w:rsidR="00431485" w:rsidRPr="00BC2C89" w:rsidRDefault="00BC2C89" w:rsidP="005B6C50">
      <w:pPr>
        <w:rPr>
          <w:rFonts w:ascii="Arial Narrow" w:hAnsi="Arial Narrow" w:cs="Times New Roman"/>
          <w:color w:val="00CC00"/>
          <w:sz w:val="24"/>
          <w:szCs w:val="24"/>
        </w:rPr>
      </w:pPr>
      <w:r w:rsidRPr="00BC2C89">
        <w:rPr>
          <w:rFonts w:ascii="Arial Narrow" w:hAnsi="Arial Narrow" w:cs="Times New Roman"/>
          <w:b/>
          <w:bCs/>
          <w:color w:val="00CC00"/>
          <w:sz w:val="24"/>
          <w:szCs w:val="24"/>
        </w:rPr>
        <w:t>ПРОИЗВОДИТЕЛЬ</w:t>
      </w:r>
      <w:r w:rsidRPr="00BC2C89">
        <w:rPr>
          <w:rFonts w:ascii="Arial Narrow" w:hAnsi="Arial Narrow" w:cs="Times New Roman"/>
          <w:color w:val="00CC00"/>
          <w:sz w:val="24"/>
          <w:szCs w:val="24"/>
        </w:rPr>
        <w:t xml:space="preserve"> </w:t>
      </w:r>
    </w:p>
    <w:p w:rsidR="00441455" w:rsidRPr="00D9542F" w:rsidRDefault="00441455" w:rsidP="00441455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Pr="00D9542F">
        <w:rPr>
          <w:rFonts w:ascii="Arial Narrow" w:hAnsi="Arial Narrow"/>
          <w:sz w:val="24"/>
          <w:szCs w:val="24"/>
        </w:rPr>
        <w:t>АО «Северная звезда», Россия</w:t>
      </w:r>
    </w:p>
    <w:p w:rsidR="00441455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D9542F">
        <w:rPr>
          <w:rFonts w:ascii="Arial Narrow" w:hAnsi="Arial Narrow" w:cs="Times New Roman"/>
          <w:sz w:val="24"/>
          <w:szCs w:val="24"/>
        </w:rPr>
        <w:t>188663, Ленинградская обл., Всеволожский</w:t>
      </w:r>
      <w:r>
        <w:rPr>
          <w:rFonts w:ascii="Arial Narrow" w:hAnsi="Arial Narrow" w:cs="Times New Roman"/>
          <w:sz w:val="24"/>
          <w:szCs w:val="24"/>
        </w:rPr>
        <w:t xml:space="preserve"> муниципальный </w:t>
      </w:r>
      <w:r w:rsidRPr="00D9542F">
        <w:rPr>
          <w:rFonts w:ascii="Arial Narrow" w:hAnsi="Arial Narrow" w:cs="Times New Roman"/>
          <w:sz w:val="24"/>
          <w:szCs w:val="24"/>
        </w:rPr>
        <w:t>р</w:t>
      </w:r>
      <w:r>
        <w:rPr>
          <w:rFonts w:ascii="Arial Narrow" w:hAnsi="Arial Narrow" w:cs="Times New Roman"/>
          <w:sz w:val="24"/>
          <w:szCs w:val="24"/>
        </w:rPr>
        <w:t>айо</w:t>
      </w:r>
      <w:r w:rsidRPr="00D9542F">
        <w:rPr>
          <w:rFonts w:ascii="Arial Narrow" w:hAnsi="Arial Narrow" w:cs="Times New Roman"/>
          <w:sz w:val="24"/>
          <w:szCs w:val="24"/>
        </w:rPr>
        <w:t xml:space="preserve">н,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 г</w:t>
      </w:r>
      <w:r w:rsidRPr="00D9542F">
        <w:rPr>
          <w:rFonts w:ascii="Arial Narrow" w:hAnsi="Arial Narrow" w:cs="Times New Roman"/>
          <w:sz w:val="24"/>
          <w:szCs w:val="24"/>
        </w:rPr>
        <w:t>о</w:t>
      </w:r>
      <w:r w:rsidRPr="00D9542F">
        <w:rPr>
          <w:rFonts w:ascii="Arial Narrow" w:hAnsi="Arial Narrow" w:cs="Times New Roman"/>
          <w:sz w:val="24"/>
          <w:szCs w:val="24"/>
        </w:rPr>
        <w:t xml:space="preserve">родское поселение,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4; д. 4 корп. 1; д. 4 корп. 2</w:t>
      </w:r>
    </w:p>
    <w:p w:rsidR="00441455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D9542F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:rsidR="00441455" w:rsidRPr="00441455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b/>
          <w:bCs/>
          <w:color w:val="00CC00"/>
          <w:sz w:val="24"/>
          <w:szCs w:val="24"/>
        </w:rPr>
      </w:pPr>
      <w:r w:rsidRPr="00441455">
        <w:rPr>
          <w:rFonts w:ascii="Arial Narrow" w:hAnsi="Arial Narrow" w:cs="Times New Roman"/>
          <w:b/>
          <w:bCs/>
          <w:color w:val="00CC00"/>
          <w:sz w:val="24"/>
          <w:szCs w:val="24"/>
        </w:rPr>
        <w:t>ВЛАДЕЛЕЦ РЕГИСТРАЦИОННОГО УДОСТОВЕРЕНИЯ/ОРГАНИЗАЦИЯ, ПРИНИМАЮЩАЯ ПРЕТЕНЗИИ ПОТРЕБИТЕЛЯ</w:t>
      </w:r>
    </w:p>
    <w:p w:rsidR="00441455" w:rsidRPr="00444F71" w:rsidRDefault="00441455" w:rsidP="00441455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Pr="00D9542F">
        <w:rPr>
          <w:rFonts w:ascii="Arial Narrow" w:hAnsi="Arial Narrow"/>
          <w:sz w:val="24"/>
          <w:szCs w:val="24"/>
        </w:rPr>
        <w:t>АО «Северная звезда», Россия</w:t>
      </w:r>
    </w:p>
    <w:p w:rsidR="00441455" w:rsidRPr="00D9542F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i/>
          <w:sz w:val="24"/>
          <w:szCs w:val="24"/>
        </w:rPr>
      </w:pPr>
      <w:r w:rsidRPr="00D9542F">
        <w:rPr>
          <w:rFonts w:ascii="Arial Narrow" w:hAnsi="Arial Narrow" w:cs="Times New Roman"/>
          <w:i/>
          <w:sz w:val="24"/>
          <w:szCs w:val="24"/>
        </w:rPr>
        <w:t>Юридический адрес предприятия-производителя:</w:t>
      </w:r>
      <w:bookmarkStart w:id="0" w:name="_GoBack"/>
      <w:bookmarkEnd w:id="0"/>
    </w:p>
    <w:p w:rsidR="00441455" w:rsidRDefault="00441455" w:rsidP="00441455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sz w:val="24"/>
          <w:szCs w:val="24"/>
        </w:rPr>
      </w:pPr>
      <w:r w:rsidRPr="00D9542F">
        <w:rPr>
          <w:rFonts w:ascii="Arial Narrow" w:hAnsi="Arial Narrow"/>
          <w:sz w:val="24"/>
          <w:szCs w:val="24"/>
        </w:rPr>
        <w:t>111</w:t>
      </w:r>
      <w:r>
        <w:rPr>
          <w:rFonts w:ascii="Arial Narrow" w:hAnsi="Arial Narrow"/>
          <w:sz w:val="24"/>
          <w:szCs w:val="24"/>
        </w:rPr>
        <w:t>524</w:t>
      </w:r>
      <w:r w:rsidRPr="00D9542F">
        <w:rPr>
          <w:rFonts w:ascii="Arial Narrow" w:hAnsi="Arial Narrow"/>
          <w:sz w:val="24"/>
          <w:szCs w:val="24"/>
        </w:rPr>
        <w:t xml:space="preserve">, г. Москва, </w:t>
      </w:r>
      <w:r>
        <w:rPr>
          <w:rFonts w:ascii="Arial Narrow" w:hAnsi="Arial Narrow"/>
          <w:sz w:val="24"/>
          <w:szCs w:val="24"/>
        </w:rPr>
        <w:t xml:space="preserve">ул. Электродная, д. 2, стр. 34, этаж 2, </w:t>
      </w:r>
      <w:proofErr w:type="spellStart"/>
      <w:r>
        <w:rPr>
          <w:rFonts w:ascii="Arial Narrow" w:hAnsi="Arial Narrow"/>
          <w:sz w:val="24"/>
          <w:szCs w:val="24"/>
        </w:rPr>
        <w:t>помещ</w:t>
      </w:r>
      <w:proofErr w:type="spellEnd"/>
      <w:r>
        <w:rPr>
          <w:rFonts w:ascii="Arial Narrow" w:hAnsi="Arial Narrow"/>
          <w:sz w:val="24"/>
          <w:szCs w:val="24"/>
        </w:rPr>
        <w:t>. 47</w:t>
      </w:r>
    </w:p>
    <w:p w:rsidR="00441455" w:rsidRPr="00D9542F" w:rsidRDefault="00441455" w:rsidP="00441455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i/>
          <w:iCs/>
          <w:sz w:val="24"/>
          <w:szCs w:val="24"/>
        </w:rPr>
      </w:pPr>
      <w:r w:rsidRPr="00D9542F">
        <w:rPr>
          <w:rFonts w:ascii="Arial Narrow" w:hAnsi="Arial Narrow"/>
          <w:i/>
          <w:iCs/>
          <w:sz w:val="24"/>
          <w:szCs w:val="24"/>
        </w:rPr>
        <w:t>Адрес производителя</w:t>
      </w:r>
      <w:r>
        <w:rPr>
          <w:rFonts w:ascii="Arial Narrow" w:hAnsi="Arial Narrow"/>
          <w:i/>
          <w:iCs/>
          <w:sz w:val="24"/>
          <w:szCs w:val="24"/>
        </w:rPr>
        <w:t xml:space="preserve"> и принятия претензий</w:t>
      </w:r>
      <w:r w:rsidRPr="00D9542F">
        <w:rPr>
          <w:rFonts w:ascii="Arial Narrow" w:hAnsi="Arial Narrow"/>
          <w:i/>
          <w:iCs/>
          <w:sz w:val="24"/>
          <w:szCs w:val="24"/>
        </w:rPr>
        <w:t>:</w:t>
      </w:r>
    </w:p>
    <w:p w:rsidR="00441455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D9542F">
        <w:rPr>
          <w:rFonts w:ascii="Arial Narrow" w:hAnsi="Arial Narrow" w:cs="Times New Roman"/>
          <w:sz w:val="24"/>
          <w:szCs w:val="24"/>
        </w:rPr>
        <w:t>188663, Ленинградская обл., Всеволожский</w:t>
      </w:r>
      <w:r>
        <w:rPr>
          <w:rFonts w:ascii="Arial Narrow" w:hAnsi="Arial Narrow" w:cs="Times New Roman"/>
          <w:sz w:val="24"/>
          <w:szCs w:val="24"/>
        </w:rPr>
        <w:t xml:space="preserve"> муниципальный </w:t>
      </w:r>
      <w:r w:rsidRPr="00D9542F">
        <w:rPr>
          <w:rFonts w:ascii="Arial Narrow" w:hAnsi="Arial Narrow" w:cs="Times New Roman"/>
          <w:sz w:val="24"/>
          <w:szCs w:val="24"/>
        </w:rPr>
        <w:t>р</w:t>
      </w:r>
      <w:r>
        <w:rPr>
          <w:rFonts w:ascii="Arial Narrow" w:hAnsi="Arial Narrow" w:cs="Times New Roman"/>
          <w:sz w:val="24"/>
          <w:szCs w:val="24"/>
        </w:rPr>
        <w:t>айо</w:t>
      </w:r>
      <w:r w:rsidRPr="00D9542F">
        <w:rPr>
          <w:rFonts w:ascii="Arial Narrow" w:hAnsi="Arial Narrow" w:cs="Times New Roman"/>
          <w:sz w:val="24"/>
          <w:szCs w:val="24"/>
        </w:rPr>
        <w:t xml:space="preserve">н,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 г</w:t>
      </w:r>
      <w:r w:rsidRPr="00D9542F">
        <w:rPr>
          <w:rFonts w:ascii="Arial Narrow" w:hAnsi="Arial Narrow" w:cs="Times New Roman"/>
          <w:sz w:val="24"/>
          <w:szCs w:val="24"/>
        </w:rPr>
        <w:t>о</w:t>
      </w:r>
      <w:r w:rsidRPr="00D9542F">
        <w:rPr>
          <w:rFonts w:ascii="Arial Narrow" w:hAnsi="Arial Narrow" w:cs="Times New Roman"/>
          <w:sz w:val="24"/>
          <w:szCs w:val="24"/>
        </w:rPr>
        <w:t xml:space="preserve">родское поселение,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D9542F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D9542F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4; д. 4 корп. 1; д. 4 корп. 2</w:t>
      </w:r>
    </w:p>
    <w:p w:rsidR="00441455" w:rsidRPr="00D9542F" w:rsidRDefault="00441455" w:rsidP="00441455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D9542F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:rsidR="00935DB1" w:rsidRPr="00BC2C89" w:rsidRDefault="00BC2C89" w:rsidP="005B6C50">
      <w:pPr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</w:p>
    <w:p w:rsidR="00BC2C89" w:rsidRPr="00EA6F52" w:rsidRDefault="002B4E8F" w:rsidP="00BC2C89">
      <w:pPr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noProof/>
          <w:sz w:val="24"/>
          <w:szCs w:val="24"/>
        </w:rPr>
        <w:drawing>
          <wp:inline distT="0" distB="0" distL="0" distR="0">
            <wp:extent cx="1197242" cy="510363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18" cy="51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89" w:rsidRPr="00BC2C89" w:rsidRDefault="00BC2C89" w:rsidP="00BC2C89">
      <w:pPr>
        <w:jc w:val="both"/>
        <w:rPr>
          <w:rFonts w:ascii="Arial Narrow" w:hAnsi="Arial Narrow"/>
          <w:b/>
          <w:color w:val="00CC00"/>
          <w:sz w:val="24"/>
          <w:szCs w:val="24"/>
        </w:rPr>
      </w:pP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Производится в соответствии со стандартами </w:t>
      </w:r>
      <w:r w:rsidRPr="00BC2C89">
        <w:rPr>
          <w:rFonts w:ascii="Arial Narrow" w:hAnsi="Arial Narrow"/>
          <w:b/>
          <w:color w:val="00CC00"/>
          <w:sz w:val="24"/>
          <w:szCs w:val="24"/>
          <w:lang w:val="en-US"/>
        </w:rPr>
        <w:t>GMP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(</w:t>
      </w:r>
      <w:r w:rsidRPr="00BC2C89">
        <w:rPr>
          <w:rFonts w:ascii="Arial Narrow" w:hAnsi="Arial Narrow"/>
          <w:b/>
          <w:color w:val="00CC00"/>
          <w:sz w:val="24"/>
          <w:szCs w:val="24"/>
          <w:lang w:val="en-US"/>
        </w:rPr>
        <w:t>Good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</w:t>
      </w:r>
      <w:r w:rsidRPr="00BC2C89">
        <w:rPr>
          <w:rFonts w:ascii="Arial Narrow" w:hAnsi="Arial Narrow"/>
          <w:b/>
          <w:color w:val="00CC00"/>
          <w:sz w:val="24"/>
          <w:szCs w:val="24"/>
          <w:lang w:val="en-US"/>
        </w:rPr>
        <w:t>Manufacturing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</w:t>
      </w:r>
      <w:r w:rsidRPr="00BC2C89">
        <w:rPr>
          <w:rFonts w:ascii="Arial Narrow" w:hAnsi="Arial Narrow"/>
          <w:b/>
          <w:color w:val="00CC00"/>
          <w:sz w:val="24"/>
          <w:szCs w:val="24"/>
          <w:lang w:val="en-US"/>
        </w:rPr>
        <w:t>Practice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). </w:t>
      </w:r>
    </w:p>
    <w:p w:rsidR="00BC2C89" w:rsidRPr="00BC2C89" w:rsidRDefault="00BC2C89" w:rsidP="00BC2C89">
      <w:pPr>
        <w:jc w:val="both"/>
        <w:rPr>
          <w:rFonts w:ascii="Arial Narrow" w:hAnsi="Arial Narrow"/>
          <w:b/>
          <w:color w:val="00CC00"/>
          <w:sz w:val="24"/>
          <w:szCs w:val="24"/>
        </w:rPr>
      </w:pPr>
      <w:r w:rsidRPr="00BC2C89">
        <w:rPr>
          <w:rFonts w:ascii="Arial Narrow" w:hAnsi="Arial Narrow"/>
          <w:b/>
          <w:color w:val="00CC00"/>
          <w:sz w:val="24"/>
          <w:szCs w:val="24"/>
        </w:rPr>
        <w:lastRenderedPageBreak/>
        <w:t>Заключени</w:t>
      </w:r>
      <w:r w:rsidR="00441455">
        <w:rPr>
          <w:rFonts w:ascii="Arial Narrow" w:hAnsi="Arial Narrow"/>
          <w:b/>
          <w:color w:val="00CC00"/>
          <w:sz w:val="24"/>
          <w:szCs w:val="24"/>
        </w:rPr>
        <w:t>я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</w:t>
      </w:r>
      <w:r w:rsidR="00441455">
        <w:rPr>
          <w:rFonts w:ascii="Arial Narrow" w:hAnsi="Arial Narrow"/>
          <w:b/>
          <w:color w:val="00CC00"/>
          <w:sz w:val="24"/>
          <w:szCs w:val="24"/>
        </w:rPr>
        <w:t>ы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Министерством промышленности и торговли Российской Федерации.</w:t>
      </w:r>
    </w:p>
    <w:p w:rsidR="00BC2C89" w:rsidRPr="00BC2C89" w:rsidRDefault="00BC2C89" w:rsidP="00BC2C89">
      <w:pPr>
        <w:jc w:val="both"/>
        <w:rPr>
          <w:rFonts w:ascii="Arial Narrow" w:hAnsi="Arial Narrow"/>
          <w:b/>
          <w:color w:val="00CC00"/>
          <w:sz w:val="24"/>
          <w:szCs w:val="24"/>
        </w:rPr>
      </w:pP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Сертификат </w:t>
      </w:r>
      <w:r w:rsidRPr="00BC2C89">
        <w:rPr>
          <w:rFonts w:ascii="Arial Narrow" w:hAnsi="Arial Narrow"/>
          <w:b/>
          <w:color w:val="00CC00"/>
          <w:sz w:val="24"/>
          <w:szCs w:val="24"/>
          <w:lang w:val="en-US"/>
        </w:rPr>
        <w:t>GMP</w:t>
      </w:r>
      <w:r w:rsidRPr="00BC2C89">
        <w:rPr>
          <w:rFonts w:ascii="Arial Narrow" w:hAnsi="Arial Narrow"/>
          <w:b/>
          <w:color w:val="00CC00"/>
          <w:sz w:val="24"/>
          <w:szCs w:val="24"/>
        </w:rPr>
        <w:t xml:space="preserve"> выдан Европейским агентством.</w:t>
      </w:r>
    </w:p>
    <w:p w:rsidR="00BC2C89" w:rsidRDefault="00BC2C89" w:rsidP="00BC2C89">
      <w:pPr>
        <w:rPr>
          <w:rFonts w:ascii="Arial Narrow" w:hAnsi="Arial Narrow" w:cs="Times New Roman"/>
          <w:bCs/>
          <w:sz w:val="24"/>
          <w:szCs w:val="24"/>
        </w:rPr>
      </w:pPr>
    </w:p>
    <w:p w:rsidR="00BC2C89" w:rsidRDefault="00BC2C89" w:rsidP="00BC2C89">
      <w:pPr>
        <w:rPr>
          <w:rFonts w:ascii="Arial Narrow" w:hAnsi="Arial Narrow" w:cs="Times New Roman"/>
          <w:bCs/>
          <w:sz w:val="24"/>
          <w:szCs w:val="24"/>
        </w:rPr>
      </w:pPr>
    </w:p>
    <w:p w:rsidR="00BC2C89" w:rsidRPr="00BC2C89" w:rsidRDefault="00BC2C89" w:rsidP="00BC2C89">
      <w:pPr>
        <w:rPr>
          <w:rFonts w:ascii="Arial Narrow" w:hAnsi="Arial Narrow" w:cs="Times New Roman"/>
          <w:sz w:val="24"/>
          <w:szCs w:val="24"/>
        </w:rPr>
      </w:pPr>
      <w:r w:rsidRPr="00EA6F52">
        <w:rPr>
          <w:rFonts w:ascii="Arial Narrow" w:hAnsi="Arial Narrow"/>
          <w:color w:val="000000"/>
          <w:sz w:val="24"/>
          <w:szCs w:val="24"/>
        </w:rPr>
        <w:t xml:space="preserve">Цветовая спецификация: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Black</w:t>
      </w:r>
      <w:r w:rsidRPr="00EA6F52">
        <w:rPr>
          <w:rFonts w:ascii="Arial Narrow" w:hAnsi="Arial Narrow" w:cs="Times New Roman"/>
          <w:sz w:val="24"/>
          <w:szCs w:val="24"/>
        </w:rPr>
        <w:t xml:space="preserve">, </w:t>
      </w:r>
      <w:r w:rsidRPr="00EA6F52">
        <w:rPr>
          <w:rFonts w:ascii="Arial Narrow" w:hAnsi="Arial Narrow" w:cs="Times New Roman"/>
          <w:sz w:val="24"/>
          <w:szCs w:val="24"/>
          <w:lang w:val="en-US"/>
        </w:rPr>
        <w:t>Pantone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369</w:t>
      </w:r>
      <w:r w:rsidRPr="00EA6F52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С</w:t>
      </w:r>
    </w:p>
    <w:p w:rsidR="00616CE7" w:rsidRPr="005B6C50" w:rsidRDefault="00616CE7" w:rsidP="005B6C50">
      <w:pPr>
        <w:rPr>
          <w:rFonts w:ascii="Arial Narrow" w:hAnsi="Arial Narrow"/>
          <w:sz w:val="24"/>
          <w:szCs w:val="24"/>
        </w:rPr>
      </w:pPr>
    </w:p>
    <w:p w:rsidR="00B30A9C" w:rsidRPr="005B6C50" w:rsidRDefault="00B30A9C" w:rsidP="005B6C50">
      <w:pPr>
        <w:rPr>
          <w:rFonts w:ascii="Arial Narrow" w:hAnsi="Arial Narrow" w:cs="Times New Roman"/>
          <w:bCs/>
          <w:sz w:val="24"/>
          <w:szCs w:val="24"/>
        </w:rPr>
      </w:pPr>
    </w:p>
    <w:sectPr w:rsidR="00B30A9C" w:rsidRPr="005B6C50" w:rsidSect="009E1614">
      <w:footerReference w:type="even" r:id="rId8"/>
      <w:footerReference w:type="default" r:id="rId9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88" w:rsidRDefault="00BA7A88">
      <w:r>
        <w:separator/>
      </w:r>
    </w:p>
  </w:endnote>
  <w:endnote w:type="continuationSeparator" w:id="0">
    <w:p w:rsidR="00BA7A88" w:rsidRDefault="00B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68" w:rsidRDefault="00366568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6568" w:rsidRDefault="00366568" w:rsidP="00397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68" w:rsidRDefault="00366568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1A4A">
      <w:rPr>
        <w:rStyle w:val="a4"/>
        <w:noProof/>
      </w:rPr>
      <w:t>6</w:t>
    </w:r>
    <w:r>
      <w:rPr>
        <w:rStyle w:val="a4"/>
      </w:rPr>
      <w:fldChar w:fldCharType="end"/>
    </w:r>
  </w:p>
  <w:p w:rsidR="00366568" w:rsidRDefault="00366568" w:rsidP="00397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88" w:rsidRDefault="00BA7A88">
      <w:r>
        <w:separator/>
      </w:r>
    </w:p>
  </w:footnote>
  <w:footnote w:type="continuationSeparator" w:id="0">
    <w:p w:rsidR="00BA7A88" w:rsidRDefault="00BA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966"/>
    <w:multiLevelType w:val="hybridMultilevel"/>
    <w:tmpl w:val="562E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F"/>
    <w:rsid w:val="00000649"/>
    <w:rsid w:val="00004AC5"/>
    <w:rsid w:val="00005F8B"/>
    <w:rsid w:val="000207C3"/>
    <w:rsid w:val="00023EFE"/>
    <w:rsid w:val="000322F6"/>
    <w:rsid w:val="000349FB"/>
    <w:rsid w:val="00037472"/>
    <w:rsid w:val="0004119A"/>
    <w:rsid w:val="00043867"/>
    <w:rsid w:val="000476B4"/>
    <w:rsid w:val="00053CC7"/>
    <w:rsid w:val="00056BEF"/>
    <w:rsid w:val="00063682"/>
    <w:rsid w:val="00072C10"/>
    <w:rsid w:val="0008241C"/>
    <w:rsid w:val="000824AB"/>
    <w:rsid w:val="00087951"/>
    <w:rsid w:val="00087E6E"/>
    <w:rsid w:val="00090A46"/>
    <w:rsid w:val="000919E0"/>
    <w:rsid w:val="00096D94"/>
    <w:rsid w:val="000A0463"/>
    <w:rsid w:val="000A30E5"/>
    <w:rsid w:val="000A580A"/>
    <w:rsid w:val="000B0700"/>
    <w:rsid w:val="000B1F55"/>
    <w:rsid w:val="000B30D1"/>
    <w:rsid w:val="000B54F6"/>
    <w:rsid w:val="000C0021"/>
    <w:rsid w:val="000C18C7"/>
    <w:rsid w:val="000C5068"/>
    <w:rsid w:val="000C7294"/>
    <w:rsid w:val="000D4B0C"/>
    <w:rsid w:val="000D6FFA"/>
    <w:rsid w:val="000E130F"/>
    <w:rsid w:val="000F25DA"/>
    <w:rsid w:val="000F2CEF"/>
    <w:rsid w:val="000F2E14"/>
    <w:rsid w:val="000F3DF7"/>
    <w:rsid w:val="000F4C13"/>
    <w:rsid w:val="000F5F5F"/>
    <w:rsid w:val="000F6129"/>
    <w:rsid w:val="0010108D"/>
    <w:rsid w:val="001032B0"/>
    <w:rsid w:val="00103F0A"/>
    <w:rsid w:val="0011100A"/>
    <w:rsid w:val="00120027"/>
    <w:rsid w:val="00122DE2"/>
    <w:rsid w:val="00125A3C"/>
    <w:rsid w:val="0013026A"/>
    <w:rsid w:val="00130828"/>
    <w:rsid w:val="001320E6"/>
    <w:rsid w:val="00141A8F"/>
    <w:rsid w:val="001516B2"/>
    <w:rsid w:val="00156697"/>
    <w:rsid w:val="00157020"/>
    <w:rsid w:val="001770ED"/>
    <w:rsid w:val="0018081A"/>
    <w:rsid w:val="00187422"/>
    <w:rsid w:val="00187C72"/>
    <w:rsid w:val="00190B80"/>
    <w:rsid w:val="00191086"/>
    <w:rsid w:val="00193ACC"/>
    <w:rsid w:val="001978FF"/>
    <w:rsid w:val="001A45D9"/>
    <w:rsid w:val="001B08E6"/>
    <w:rsid w:val="001B3B54"/>
    <w:rsid w:val="001B4BB1"/>
    <w:rsid w:val="001B513D"/>
    <w:rsid w:val="001C3085"/>
    <w:rsid w:val="001C31C2"/>
    <w:rsid w:val="001C6588"/>
    <w:rsid w:val="001D09A0"/>
    <w:rsid w:val="001D7FAC"/>
    <w:rsid w:val="001E02CC"/>
    <w:rsid w:val="001E22C4"/>
    <w:rsid w:val="001E300B"/>
    <w:rsid w:val="001E3617"/>
    <w:rsid w:val="001F32EE"/>
    <w:rsid w:val="001F431F"/>
    <w:rsid w:val="002001EB"/>
    <w:rsid w:val="002020B3"/>
    <w:rsid w:val="002058CE"/>
    <w:rsid w:val="00213503"/>
    <w:rsid w:val="00220896"/>
    <w:rsid w:val="002229A7"/>
    <w:rsid w:val="002256DA"/>
    <w:rsid w:val="002310AA"/>
    <w:rsid w:val="0024312C"/>
    <w:rsid w:val="002459DA"/>
    <w:rsid w:val="002503D7"/>
    <w:rsid w:val="002537E5"/>
    <w:rsid w:val="00255E29"/>
    <w:rsid w:val="002568C7"/>
    <w:rsid w:val="0026425D"/>
    <w:rsid w:val="002827E9"/>
    <w:rsid w:val="00282BA9"/>
    <w:rsid w:val="002833B5"/>
    <w:rsid w:val="0029452F"/>
    <w:rsid w:val="00294F7A"/>
    <w:rsid w:val="00297C18"/>
    <w:rsid w:val="002A0AE7"/>
    <w:rsid w:val="002B1040"/>
    <w:rsid w:val="002B4E8F"/>
    <w:rsid w:val="002B7E18"/>
    <w:rsid w:val="002C072F"/>
    <w:rsid w:val="002C2700"/>
    <w:rsid w:val="002C4F35"/>
    <w:rsid w:val="002D10A0"/>
    <w:rsid w:val="002D43F8"/>
    <w:rsid w:val="002E5A8F"/>
    <w:rsid w:val="002F38DF"/>
    <w:rsid w:val="002F3C0B"/>
    <w:rsid w:val="002F5309"/>
    <w:rsid w:val="002F7A89"/>
    <w:rsid w:val="00303F2E"/>
    <w:rsid w:val="00305195"/>
    <w:rsid w:val="00306116"/>
    <w:rsid w:val="00306FA8"/>
    <w:rsid w:val="00314107"/>
    <w:rsid w:val="00314DC3"/>
    <w:rsid w:val="00317DB1"/>
    <w:rsid w:val="00325B26"/>
    <w:rsid w:val="003306F2"/>
    <w:rsid w:val="00335CC7"/>
    <w:rsid w:val="003370EB"/>
    <w:rsid w:val="00337D16"/>
    <w:rsid w:val="00337D99"/>
    <w:rsid w:val="003473CF"/>
    <w:rsid w:val="00352131"/>
    <w:rsid w:val="003549FF"/>
    <w:rsid w:val="00357C80"/>
    <w:rsid w:val="00362823"/>
    <w:rsid w:val="00366568"/>
    <w:rsid w:val="003704C5"/>
    <w:rsid w:val="00370D46"/>
    <w:rsid w:val="00371EFA"/>
    <w:rsid w:val="00372627"/>
    <w:rsid w:val="00372F57"/>
    <w:rsid w:val="00377F19"/>
    <w:rsid w:val="00384236"/>
    <w:rsid w:val="00385193"/>
    <w:rsid w:val="00390AD9"/>
    <w:rsid w:val="00397809"/>
    <w:rsid w:val="003A5299"/>
    <w:rsid w:val="003A53E3"/>
    <w:rsid w:val="003B3466"/>
    <w:rsid w:val="003B4D9D"/>
    <w:rsid w:val="003B6F2B"/>
    <w:rsid w:val="003C18E9"/>
    <w:rsid w:val="003C27FC"/>
    <w:rsid w:val="003C6477"/>
    <w:rsid w:val="003C694F"/>
    <w:rsid w:val="003D44D0"/>
    <w:rsid w:val="003F00FE"/>
    <w:rsid w:val="003F10B4"/>
    <w:rsid w:val="003F17FC"/>
    <w:rsid w:val="003F36EB"/>
    <w:rsid w:val="003F608D"/>
    <w:rsid w:val="003F6614"/>
    <w:rsid w:val="00402BD3"/>
    <w:rsid w:val="004118BC"/>
    <w:rsid w:val="00416583"/>
    <w:rsid w:val="004226C1"/>
    <w:rsid w:val="00422BF8"/>
    <w:rsid w:val="00423463"/>
    <w:rsid w:val="00425CC7"/>
    <w:rsid w:val="00431485"/>
    <w:rsid w:val="00431547"/>
    <w:rsid w:val="00431F59"/>
    <w:rsid w:val="00432CE8"/>
    <w:rsid w:val="0043318F"/>
    <w:rsid w:val="00433E55"/>
    <w:rsid w:val="004346EB"/>
    <w:rsid w:val="00435036"/>
    <w:rsid w:val="004379FA"/>
    <w:rsid w:val="00437D8B"/>
    <w:rsid w:val="00440A9E"/>
    <w:rsid w:val="00441455"/>
    <w:rsid w:val="00460C43"/>
    <w:rsid w:val="00461A67"/>
    <w:rsid w:val="00462A1C"/>
    <w:rsid w:val="00470962"/>
    <w:rsid w:val="00471391"/>
    <w:rsid w:val="00471738"/>
    <w:rsid w:val="0047512C"/>
    <w:rsid w:val="00475CC6"/>
    <w:rsid w:val="00477353"/>
    <w:rsid w:val="004822BA"/>
    <w:rsid w:val="00486D7E"/>
    <w:rsid w:val="00487EFC"/>
    <w:rsid w:val="00494257"/>
    <w:rsid w:val="004A184A"/>
    <w:rsid w:val="004B2386"/>
    <w:rsid w:val="004C38F6"/>
    <w:rsid w:val="004C501E"/>
    <w:rsid w:val="004C7E46"/>
    <w:rsid w:val="004D02CC"/>
    <w:rsid w:val="004D0399"/>
    <w:rsid w:val="004D1A4A"/>
    <w:rsid w:val="004D5DB0"/>
    <w:rsid w:val="004D67EE"/>
    <w:rsid w:val="004E1CC7"/>
    <w:rsid w:val="004E6EA4"/>
    <w:rsid w:val="004F123C"/>
    <w:rsid w:val="004F1498"/>
    <w:rsid w:val="004F465D"/>
    <w:rsid w:val="004F477F"/>
    <w:rsid w:val="00501AEF"/>
    <w:rsid w:val="00501B27"/>
    <w:rsid w:val="00507C77"/>
    <w:rsid w:val="00513D0B"/>
    <w:rsid w:val="005140A5"/>
    <w:rsid w:val="005151C0"/>
    <w:rsid w:val="00516F9F"/>
    <w:rsid w:val="00524139"/>
    <w:rsid w:val="00524449"/>
    <w:rsid w:val="00534E99"/>
    <w:rsid w:val="0053643F"/>
    <w:rsid w:val="0054411B"/>
    <w:rsid w:val="00547895"/>
    <w:rsid w:val="00547FBC"/>
    <w:rsid w:val="00550036"/>
    <w:rsid w:val="005550DE"/>
    <w:rsid w:val="005560CC"/>
    <w:rsid w:val="005561AB"/>
    <w:rsid w:val="00557075"/>
    <w:rsid w:val="00557664"/>
    <w:rsid w:val="005611A9"/>
    <w:rsid w:val="005629ED"/>
    <w:rsid w:val="00565517"/>
    <w:rsid w:val="0057078F"/>
    <w:rsid w:val="00572165"/>
    <w:rsid w:val="00582360"/>
    <w:rsid w:val="00583D2E"/>
    <w:rsid w:val="00585F9F"/>
    <w:rsid w:val="00590147"/>
    <w:rsid w:val="005919AE"/>
    <w:rsid w:val="005A1573"/>
    <w:rsid w:val="005A611C"/>
    <w:rsid w:val="005A6798"/>
    <w:rsid w:val="005A7144"/>
    <w:rsid w:val="005B3B5C"/>
    <w:rsid w:val="005B55D3"/>
    <w:rsid w:val="005B6C50"/>
    <w:rsid w:val="005C0BFA"/>
    <w:rsid w:val="005C0E5B"/>
    <w:rsid w:val="005C3290"/>
    <w:rsid w:val="005C58D3"/>
    <w:rsid w:val="005C5A69"/>
    <w:rsid w:val="005C6651"/>
    <w:rsid w:val="005D0729"/>
    <w:rsid w:val="005E4D09"/>
    <w:rsid w:val="005E518C"/>
    <w:rsid w:val="005E6F27"/>
    <w:rsid w:val="005E7D77"/>
    <w:rsid w:val="005F34A8"/>
    <w:rsid w:val="00600406"/>
    <w:rsid w:val="0060124B"/>
    <w:rsid w:val="00602B8D"/>
    <w:rsid w:val="00602BD9"/>
    <w:rsid w:val="00603C68"/>
    <w:rsid w:val="0060573C"/>
    <w:rsid w:val="00607CA7"/>
    <w:rsid w:val="0061541F"/>
    <w:rsid w:val="006158DF"/>
    <w:rsid w:val="006165E2"/>
    <w:rsid w:val="00616CE7"/>
    <w:rsid w:val="0061701D"/>
    <w:rsid w:val="00620A8A"/>
    <w:rsid w:val="00626D1B"/>
    <w:rsid w:val="006273C6"/>
    <w:rsid w:val="006321FD"/>
    <w:rsid w:val="00632CF9"/>
    <w:rsid w:val="00633555"/>
    <w:rsid w:val="0065050F"/>
    <w:rsid w:val="00652E19"/>
    <w:rsid w:val="00653E30"/>
    <w:rsid w:val="006550D0"/>
    <w:rsid w:val="00656D6D"/>
    <w:rsid w:val="006619D5"/>
    <w:rsid w:val="0066303B"/>
    <w:rsid w:val="00663DDA"/>
    <w:rsid w:val="00665099"/>
    <w:rsid w:val="00665956"/>
    <w:rsid w:val="006668DF"/>
    <w:rsid w:val="00670703"/>
    <w:rsid w:val="00674319"/>
    <w:rsid w:val="0067489C"/>
    <w:rsid w:val="00674B0C"/>
    <w:rsid w:val="00677C16"/>
    <w:rsid w:val="0068077E"/>
    <w:rsid w:val="00682D14"/>
    <w:rsid w:val="006916DD"/>
    <w:rsid w:val="00692044"/>
    <w:rsid w:val="00692B31"/>
    <w:rsid w:val="006A049E"/>
    <w:rsid w:val="006A5FBE"/>
    <w:rsid w:val="006A6D25"/>
    <w:rsid w:val="006B49F1"/>
    <w:rsid w:val="006B4F2A"/>
    <w:rsid w:val="006D6DE1"/>
    <w:rsid w:val="006D6E8D"/>
    <w:rsid w:val="006D7035"/>
    <w:rsid w:val="006F50C3"/>
    <w:rsid w:val="006F5C94"/>
    <w:rsid w:val="006F7A0A"/>
    <w:rsid w:val="006F7AA8"/>
    <w:rsid w:val="00702970"/>
    <w:rsid w:val="00706438"/>
    <w:rsid w:val="00720148"/>
    <w:rsid w:val="0072114B"/>
    <w:rsid w:val="00723C56"/>
    <w:rsid w:val="00723D8F"/>
    <w:rsid w:val="00726BB6"/>
    <w:rsid w:val="00730E8A"/>
    <w:rsid w:val="0073495F"/>
    <w:rsid w:val="00736E36"/>
    <w:rsid w:val="00737E51"/>
    <w:rsid w:val="007404D1"/>
    <w:rsid w:val="007474EB"/>
    <w:rsid w:val="00747C71"/>
    <w:rsid w:val="00753892"/>
    <w:rsid w:val="007538C2"/>
    <w:rsid w:val="0075456F"/>
    <w:rsid w:val="00754A1D"/>
    <w:rsid w:val="00755307"/>
    <w:rsid w:val="0076108C"/>
    <w:rsid w:val="00761BF9"/>
    <w:rsid w:val="0077106F"/>
    <w:rsid w:val="00773293"/>
    <w:rsid w:val="00776E94"/>
    <w:rsid w:val="00777109"/>
    <w:rsid w:val="007800DD"/>
    <w:rsid w:val="00782269"/>
    <w:rsid w:val="00785E6D"/>
    <w:rsid w:val="007865E5"/>
    <w:rsid w:val="007918AF"/>
    <w:rsid w:val="00792E24"/>
    <w:rsid w:val="00794199"/>
    <w:rsid w:val="00796AA3"/>
    <w:rsid w:val="007A18A2"/>
    <w:rsid w:val="007A2FA7"/>
    <w:rsid w:val="007A3CF3"/>
    <w:rsid w:val="007A745D"/>
    <w:rsid w:val="007B00A1"/>
    <w:rsid w:val="007B08F8"/>
    <w:rsid w:val="007B1808"/>
    <w:rsid w:val="007B4BA0"/>
    <w:rsid w:val="007C5FC7"/>
    <w:rsid w:val="007D0FA2"/>
    <w:rsid w:val="007D15A4"/>
    <w:rsid w:val="007E0856"/>
    <w:rsid w:val="007E4B8D"/>
    <w:rsid w:val="007E5604"/>
    <w:rsid w:val="007E7ED3"/>
    <w:rsid w:val="007F64BE"/>
    <w:rsid w:val="007F6C00"/>
    <w:rsid w:val="007F79BA"/>
    <w:rsid w:val="007F7F22"/>
    <w:rsid w:val="007F7F6C"/>
    <w:rsid w:val="00803F4D"/>
    <w:rsid w:val="008048CD"/>
    <w:rsid w:val="0080706F"/>
    <w:rsid w:val="00812D79"/>
    <w:rsid w:val="00812E3D"/>
    <w:rsid w:val="008222FE"/>
    <w:rsid w:val="00822E55"/>
    <w:rsid w:val="008263E5"/>
    <w:rsid w:val="00827053"/>
    <w:rsid w:val="00830D4A"/>
    <w:rsid w:val="00830FF0"/>
    <w:rsid w:val="00831FA1"/>
    <w:rsid w:val="008321EB"/>
    <w:rsid w:val="00832554"/>
    <w:rsid w:val="008330FC"/>
    <w:rsid w:val="00835FA0"/>
    <w:rsid w:val="00842F19"/>
    <w:rsid w:val="00843416"/>
    <w:rsid w:val="00846044"/>
    <w:rsid w:val="00846CD5"/>
    <w:rsid w:val="00847F8E"/>
    <w:rsid w:val="0085086F"/>
    <w:rsid w:val="008573C5"/>
    <w:rsid w:val="00860409"/>
    <w:rsid w:val="008604FA"/>
    <w:rsid w:val="0086156D"/>
    <w:rsid w:val="008646F2"/>
    <w:rsid w:val="008650EB"/>
    <w:rsid w:val="00867D09"/>
    <w:rsid w:val="0087299D"/>
    <w:rsid w:val="0087647A"/>
    <w:rsid w:val="00876D15"/>
    <w:rsid w:val="0087775D"/>
    <w:rsid w:val="008816DC"/>
    <w:rsid w:val="008819BE"/>
    <w:rsid w:val="00885B15"/>
    <w:rsid w:val="00885BD3"/>
    <w:rsid w:val="00885FDA"/>
    <w:rsid w:val="00886633"/>
    <w:rsid w:val="00892893"/>
    <w:rsid w:val="008963F6"/>
    <w:rsid w:val="008A1F5F"/>
    <w:rsid w:val="008A7928"/>
    <w:rsid w:val="008B0780"/>
    <w:rsid w:val="008B5746"/>
    <w:rsid w:val="008C2AAF"/>
    <w:rsid w:val="008C725F"/>
    <w:rsid w:val="008D1859"/>
    <w:rsid w:val="008D44F2"/>
    <w:rsid w:val="008D4A4A"/>
    <w:rsid w:val="008D4F89"/>
    <w:rsid w:val="008D5534"/>
    <w:rsid w:val="008D66B4"/>
    <w:rsid w:val="008D7F26"/>
    <w:rsid w:val="008F1843"/>
    <w:rsid w:val="00903567"/>
    <w:rsid w:val="00907289"/>
    <w:rsid w:val="00910560"/>
    <w:rsid w:val="00912280"/>
    <w:rsid w:val="00915EA8"/>
    <w:rsid w:val="00916ED1"/>
    <w:rsid w:val="009226F2"/>
    <w:rsid w:val="0093094C"/>
    <w:rsid w:val="00931ABA"/>
    <w:rsid w:val="00935DB1"/>
    <w:rsid w:val="0093779C"/>
    <w:rsid w:val="00943C31"/>
    <w:rsid w:val="0094461A"/>
    <w:rsid w:val="00946EE7"/>
    <w:rsid w:val="00950E7A"/>
    <w:rsid w:val="00952B1F"/>
    <w:rsid w:val="00954613"/>
    <w:rsid w:val="0096070E"/>
    <w:rsid w:val="00960D97"/>
    <w:rsid w:val="00962087"/>
    <w:rsid w:val="00963794"/>
    <w:rsid w:val="00963B36"/>
    <w:rsid w:val="00966251"/>
    <w:rsid w:val="00966D85"/>
    <w:rsid w:val="009706DA"/>
    <w:rsid w:val="00972037"/>
    <w:rsid w:val="00972461"/>
    <w:rsid w:val="00973EF0"/>
    <w:rsid w:val="0098434A"/>
    <w:rsid w:val="009864BD"/>
    <w:rsid w:val="00987732"/>
    <w:rsid w:val="00993107"/>
    <w:rsid w:val="0099429B"/>
    <w:rsid w:val="00996576"/>
    <w:rsid w:val="009A6D72"/>
    <w:rsid w:val="009B00B4"/>
    <w:rsid w:val="009B1444"/>
    <w:rsid w:val="009B4731"/>
    <w:rsid w:val="009B5F9D"/>
    <w:rsid w:val="009B775A"/>
    <w:rsid w:val="009C058B"/>
    <w:rsid w:val="009C2767"/>
    <w:rsid w:val="009C4509"/>
    <w:rsid w:val="009C72E8"/>
    <w:rsid w:val="009D0079"/>
    <w:rsid w:val="009D1D91"/>
    <w:rsid w:val="009D3949"/>
    <w:rsid w:val="009E1614"/>
    <w:rsid w:val="009E61C5"/>
    <w:rsid w:val="009F1449"/>
    <w:rsid w:val="009F1494"/>
    <w:rsid w:val="009F18B9"/>
    <w:rsid w:val="009F5523"/>
    <w:rsid w:val="00A05946"/>
    <w:rsid w:val="00A0628C"/>
    <w:rsid w:val="00A15942"/>
    <w:rsid w:val="00A20903"/>
    <w:rsid w:val="00A22CFC"/>
    <w:rsid w:val="00A23597"/>
    <w:rsid w:val="00A23E8E"/>
    <w:rsid w:val="00A3385A"/>
    <w:rsid w:val="00A35074"/>
    <w:rsid w:val="00A4472B"/>
    <w:rsid w:val="00A45DAC"/>
    <w:rsid w:val="00A46BAB"/>
    <w:rsid w:val="00A51402"/>
    <w:rsid w:val="00A55B82"/>
    <w:rsid w:val="00A569BA"/>
    <w:rsid w:val="00A57037"/>
    <w:rsid w:val="00A63722"/>
    <w:rsid w:val="00A66B5B"/>
    <w:rsid w:val="00A71707"/>
    <w:rsid w:val="00A7505B"/>
    <w:rsid w:val="00A8314F"/>
    <w:rsid w:val="00A83D8A"/>
    <w:rsid w:val="00A873A0"/>
    <w:rsid w:val="00A90B4C"/>
    <w:rsid w:val="00A91DC1"/>
    <w:rsid w:val="00A92BB7"/>
    <w:rsid w:val="00A94BEF"/>
    <w:rsid w:val="00A96542"/>
    <w:rsid w:val="00AA3534"/>
    <w:rsid w:val="00AA4EE4"/>
    <w:rsid w:val="00AB18A4"/>
    <w:rsid w:val="00AB5416"/>
    <w:rsid w:val="00AB615B"/>
    <w:rsid w:val="00AC4FAC"/>
    <w:rsid w:val="00AD19FD"/>
    <w:rsid w:val="00AD3577"/>
    <w:rsid w:val="00AD7ACC"/>
    <w:rsid w:val="00AE1F85"/>
    <w:rsid w:val="00AE58A6"/>
    <w:rsid w:val="00AE7801"/>
    <w:rsid w:val="00AF27F1"/>
    <w:rsid w:val="00AF3059"/>
    <w:rsid w:val="00AF6639"/>
    <w:rsid w:val="00B00440"/>
    <w:rsid w:val="00B02CDF"/>
    <w:rsid w:val="00B033CA"/>
    <w:rsid w:val="00B0777B"/>
    <w:rsid w:val="00B1270C"/>
    <w:rsid w:val="00B13A57"/>
    <w:rsid w:val="00B14B97"/>
    <w:rsid w:val="00B16BDB"/>
    <w:rsid w:val="00B214EE"/>
    <w:rsid w:val="00B258ED"/>
    <w:rsid w:val="00B27BC5"/>
    <w:rsid w:val="00B30704"/>
    <w:rsid w:val="00B30A9C"/>
    <w:rsid w:val="00B40853"/>
    <w:rsid w:val="00B40872"/>
    <w:rsid w:val="00B4104D"/>
    <w:rsid w:val="00B463CC"/>
    <w:rsid w:val="00B471EF"/>
    <w:rsid w:val="00B576B6"/>
    <w:rsid w:val="00B610E1"/>
    <w:rsid w:val="00B72B61"/>
    <w:rsid w:val="00B77D45"/>
    <w:rsid w:val="00B80DD2"/>
    <w:rsid w:val="00B83B80"/>
    <w:rsid w:val="00B84DF3"/>
    <w:rsid w:val="00B903A0"/>
    <w:rsid w:val="00B957E3"/>
    <w:rsid w:val="00BA0333"/>
    <w:rsid w:val="00BA1A55"/>
    <w:rsid w:val="00BA2EAA"/>
    <w:rsid w:val="00BA4C1C"/>
    <w:rsid w:val="00BA5678"/>
    <w:rsid w:val="00BA7A88"/>
    <w:rsid w:val="00BB0A60"/>
    <w:rsid w:val="00BB384D"/>
    <w:rsid w:val="00BB5D5F"/>
    <w:rsid w:val="00BC2C89"/>
    <w:rsid w:val="00BC4F06"/>
    <w:rsid w:val="00BD4891"/>
    <w:rsid w:val="00BE3392"/>
    <w:rsid w:val="00BE5DDC"/>
    <w:rsid w:val="00BE6872"/>
    <w:rsid w:val="00BE6DD2"/>
    <w:rsid w:val="00BF06F5"/>
    <w:rsid w:val="00BF7600"/>
    <w:rsid w:val="00C02C45"/>
    <w:rsid w:val="00C03080"/>
    <w:rsid w:val="00C10379"/>
    <w:rsid w:val="00C1147C"/>
    <w:rsid w:val="00C12091"/>
    <w:rsid w:val="00C122C2"/>
    <w:rsid w:val="00C13C0E"/>
    <w:rsid w:val="00C215D7"/>
    <w:rsid w:val="00C229B5"/>
    <w:rsid w:val="00C27EE9"/>
    <w:rsid w:val="00C27FAA"/>
    <w:rsid w:val="00C31F01"/>
    <w:rsid w:val="00C3373D"/>
    <w:rsid w:val="00C337EB"/>
    <w:rsid w:val="00C375CB"/>
    <w:rsid w:val="00C40124"/>
    <w:rsid w:val="00C442B4"/>
    <w:rsid w:val="00C47D8E"/>
    <w:rsid w:val="00C508F6"/>
    <w:rsid w:val="00C51A17"/>
    <w:rsid w:val="00C600CB"/>
    <w:rsid w:val="00C6277B"/>
    <w:rsid w:val="00C62D76"/>
    <w:rsid w:val="00C67EAF"/>
    <w:rsid w:val="00C726C1"/>
    <w:rsid w:val="00C727D6"/>
    <w:rsid w:val="00C80762"/>
    <w:rsid w:val="00C80E3B"/>
    <w:rsid w:val="00C84780"/>
    <w:rsid w:val="00C8568B"/>
    <w:rsid w:val="00C86BBB"/>
    <w:rsid w:val="00C86BF1"/>
    <w:rsid w:val="00C933C5"/>
    <w:rsid w:val="00CA06D4"/>
    <w:rsid w:val="00CA08F5"/>
    <w:rsid w:val="00CA2CD8"/>
    <w:rsid w:val="00CA446A"/>
    <w:rsid w:val="00CA7706"/>
    <w:rsid w:val="00CB0699"/>
    <w:rsid w:val="00CB7C0A"/>
    <w:rsid w:val="00CC15D9"/>
    <w:rsid w:val="00CC1AB0"/>
    <w:rsid w:val="00CC4771"/>
    <w:rsid w:val="00CC513C"/>
    <w:rsid w:val="00CE21B4"/>
    <w:rsid w:val="00CE25D6"/>
    <w:rsid w:val="00CF1EE9"/>
    <w:rsid w:val="00CF2CD9"/>
    <w:rsid w:val="00CF3C1F"/>
    <w:rsid w:val="00CF5361"/>
    <w:rsid w:val="00D03E0F"/>
    <w:rsid w:val="00D055E9"/>
    <w:rsid w:val="00D0644B"/>
    <w:rsid w:val="00D070B9"/>
    <w:rsid w:val="00D11A54"/>
    <w:rsid w:val="00D12758"/>
    <w:rsid w:val="00D20A64"/>
    <w:rsid w:val="00D22F1D"/>
    <w:rsid w:val="00D24620"/>
    <w:rsid w:val="00D257E4"/>
    <w:rsid w:val="00D31117"/>
    <w:rsid w:val="00D32881"/>
    <w:rsid w:val="00D35B53"/>
    <w:rsid w:val="00D36ABA"/>
    <w:rsid w:val="00D36C26"/>
    <w:rsid w:val="00D45BB0"/>
    <w:rsid w:val="00D50C79"/>
    <w:rsid w:val="00D50D84"/>
    <w:rsid w:val="00D51069"/>
    <w:rsid w:val="00D5178B"/>
    <w:rsid w:val="00D51F45"/>
    <w:rsid w:val="00D55A9B"/>
    <w:rsid w:val="00D61A19"/>
    <w:rsid w:val="00D62ACD"/>
    <w:rsid w:val="00D6373F"/>
    <w:rsid w:val="00D65CCE"/>
    <w:rsid w:val="00D73C44"/>
    <w:rsid w:val="00D806F0"/>
    <w:rsid w:val="00D84D4B"/>
    <w:rsid w:val="00D87A0B"/>
    <w:rsid w:val="00D905B4"/>
    <w:rsid w:val="00D938F1"/>
    <w:rsid w:val="00D93C1B"/>
    <w:rsid w:val="00D9730D"/>
    <w:rsid w:val="00DA5F30"/>
    <w:rsid w:val="00DA7417"/>
    <w:rsid w:val="00DB308F"/>
    <w:rsid w:val="00DB3AA1"/>
    <w:rsid w:val="00DB4393"/>
    <w:rsid w:val="00DB6A13"/>
    <w:rsid w:val="00DB6D64"/>
    <w:rsid w:val="00DD075B"/>
    <w:rsid w:val="00DD4737"/>
    <w:rsid w:val="00DE0A78"/>
    <w:rsid w:val="00DE5596"/>
    <w:rsid w:val="00DF71A8"/>
    <w:rsid w:val="00DF731D"/>
    <w:rsid w:val="00E027CB"/>
    <w:rsid w:val="00E038EE"/>
    <w:rsid w:val="00E06925"/>
    <w:rsid w:val="00E10A48"/>
    <w:rsid w:val="00E13153"/>
    <w:rsid w:val="00E17873"/>
    <w:rsid w:val="00E2596B"/>
    <w:rsid w:val="00E25B5B"/>
    <w:rsid w:val="00E263B0"/>
    <w:rsid w:val="00E36137"/>
    <w:rsid w:val="00E37D37"/>
    <w:rsid w:val="00E40312"/>
    <w:rsid w:val="00E408A9"/>
    <w:rsid w:val="00E4210B"/>
    <w:rsid w:val="00E46096"/>
    <w:rsid w:val="00E47F31"/>
    <w:rsid w:val="00E553D0"/>
    <w:rsid w:val="00E57B5A"/>
    <w:rsid w:val="00E57B66"/>
    <w:rsid w:val="00E620CA"/>
    <w:rsid w:val="00E64BB2"/>
    <w:rsid w:val="00E66B6F"/>
    <w:rsid w:val="00E71635"/>
    <w:rsid w:val="00E75EA5"/>
    <w:rsid w:val="00E81B14"/>
    <w:rsid w:val="00E83808"/>
    <w:rsid w:val="00E84507"/>
    <w:rsid w:val="00E97D9A"/>
    <w:rsid w:val="00EA1902"/>
    <w:rsid w:val="00EA31AA"/>
    <w:rsid w:val="00EA7EC5"/>
    <w:rsid w:val="00EB5BE7"/>
    <w:rsid w:val="00EB7302"/>
    <w:rsid w:val="00EC3911"/>
    <w:rsid w:val="00EC3B11"/>
    <w:rsid w:val="00EC3F00"/>
    <w:rsid w:val="00EC43FD"/>
    <w:rsid w:val="00EC5809"/>
    <w:rsid w:val="00EC73A8"/>
    <w:rsid w:val="00ED0293"/>
    <w:rsid w:val="00ED213B"/>
    <w:rsid w:val="00ED2A52"/>
    <w:rsid w:val="00ED3083"/>
    <w:rsid w:val="00ED6A62"/>
    <w:rsid w:val="00ED715E"/>
    <w:rsid w:val="00EE037E"/>
    <w:rsid w:val="00EE1F8D"/>
    <w:rsid w:val="00EE2FCE"/>
    <w:rsid w:val="00EE579F"/>
    <w:rsid w:val="00EE5D5E"/>
    <w:rsid w:val="00EF2A9D"/>
    <w:rsid w:val="00F00DC3"/>
    <w:rsid w:val="00F0445E"/>
    <w:rsid w:val="00F103A1"/>
    <w:rsid w:val="00F2101B"/>
    <w:rsid w:val="00F24026"/>
    <w:rsid w:val="00F25B6B"/>
    <w:rsid w:val="00F34E1C"/>
    <w:rsid w:val="00F42B5E"/>
    <w:rsid w:val="00F44DF0"/>
    <w:rsid w:val="00F45799"/>
    <w:rsid w:val="00F4618A"/>
    <w:rsid w:val="00F46587"/>
    <w:rsid w:val="00F50C00"/>
    <w:rsid w:val="00F52C9F"/>
    <w:rsid w:val="00F56264"/>
    <w:rsid w:val="00F57786"/>
    <w:rsid w:val="00F60B6B"/>
    <w:rsid w:val="00F6258E"/>
    <w:rsid w:val="00F62A79"/>
    <w:rsid w:val="00F63CE7"/>
    <w:rsid w:val="00F65686"/>
    <w:rsid w:val="00F73B08"/>
    <w:rsid w:val="00F743D2"/>
    <w:rsid w:val="00F74AFB"/>
    <w:rsid w:val="00F85BF6"/>
    <w:rsid w:val="00F8764E"/>
    <w:rsid w:val="00F9100A"/>
    <w:rsid w:val="00F9328B"/>
    <w:rsid w:val="00F942CF"/>
    <w:rsid w:val="00FA4FEB"/>
    <w:rsid w:val="00FA7602"/>
    <w:rsid w:val="00FA79EB"/>
    <w:rsid w:val="00FB2C97"/>
    <w:rsid w:val="00FB3BDF"/>
    <w:rsid w:val="00FB5B7B"/>
    <w:rsid w:val="00FC2CCE"/>
    <w:rsid w:val="00FC3AA1"/>
    <w:rsid w:val="00FD30F2"/>
    <w:rsid w:val="00FD55A7"/>
    <w:rsid w:val="00FE1345"/>
    <w:rsid w:val="00FE165C"/>
    <w:rsid w:val="00FE1A62"/>
    <w:rsid w:val="00FE2F97"/>
    <w:rsid w:val="00FE72BB"/>
    <w:rsid w:val="00FF59F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3C52A4"/>
  <w15:chartTrackingRefBased/>
  <w15:docId w15:val="{45C39E1F-1812-441F-B9F9-3B10948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C31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B30A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F942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30A9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809"/>
  </w:style>
  <w:style w:type="paragraph" w:customStyle="1" w:styleId="Normal1">
    <w:name w:val="Normal1"/>
    <w:link w:val="Normal10"/>
    <w:rsid w:val="00B30A9C"/>
    <w:pPr>
      <w:widowControl w:val="0"/>
      <w:spacing w:line="439" w:lineRule="auto"/>
      <w:ind w:firstLine="720"/>
      <w:jc w:val="both"/>
    </w:pPr>
    <w:rPr>
      <w:sz w:val="22"/>
      <w:szCs w:val="22"/>
    </w:rPr>
  </w:style>
  <w:style w:type="paragraph" w:customStyle="1" w:styleId="Arial">
    <w:name w:val="ФС. Текст. Arial"/>
    <w:basedOn w:val="a"/>
    <w:rsid w:val="00384236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5">
    <w:name w:val="header"/>
    <w:basedOn w:val="a"/>
    <w:link w:val="a6"/>
    <w:rsid w:val="0038423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qFormat/>
    <w:rsid w:val="00384236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0">
    <w:name w:val="Стиль1"/>
    <w:basedOn w:val="a"/>
    <w:autoRedefine/>
    <w:rsid w:val="000A30E5"/>
    <w:pPr>
      <w:widowControl/>
      <w:autoSpaceDE/>
      <w:autoSpaceDN/>
      <w:adjustRightInd/>
      <w:jc w:val="both"/>
    </w:pPr>
    <w:rPr>
      <w:rFonts w:ascii="Times New Roman" w:hAnsi="Times New Roman" w:cs="Times New Roman"/>
      <w:bCs/>
      <w:iCs/>
      <w:color w:val="000000"/>
      <w:sz w:val="24"/>
      <w:szCs w:val="24"/>
    </w:rPr>
  </w:style>
  <w:style w:type="paragraph" w:customStyle="1" w:styleId="a8">
    <w:name w:val="ТСТ"/>
    <w:basedOn w:val="a"/>
    <w:rsid w:val="00AE1F8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table" w:styleId="a9">
    <w:name w:val="Table Grid"/>
    <w:basedOn w:val="a1"/>
    <w:rsid w:val="000B54F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0">
    <w:name w:val="Состав на одну таблетку. Arial"/>
    <w:basedOn w:val="a"/>
    <w:rsid w:val="00220896"/>
    <w:pPr>
      <w:autoSpaceDE/>
      <w:autoSpaceDN/>
      <w:adjustRightInd/>
      <w:spacing w:line="192" w:lineRule="auto"/>
      <w:ind w:firstLine="720"/>
    </w:pPr>
    <w:rPr>
      <w:rFonts w:cs="Times New Roman"/>
      <w:sz w:val="24"/>
    </w:rPr>
  </w:style>
  <w:style w:type="paragraph" w:styleId="aa">
    <w:name w:val="Body Text"/>
    <w:basedOn w:val="a"/>
    <w:rsid w:val="00460C43"/>
    <w:pPr>
      <w:widowControl/>
      <w:autoSpaceDE/>
      <w:autoSpaceDN/>
      <w:adjustRightInd/>
      <w:ind w:right="-36"/>
    </w:pPr>
    <w:rPr>
      <w:rFonts w:cs="Times New Roman"/>
      <w:sz w:val="22"/>
    </w:rPr>
  </w:style>
  <w:style w:type="paragraph" w:customStyle="1" w:styleId="Arial12">
    <w:name w:val="ФС Arial 12"/>
    <w:basedOn w:val="a"/>
    <w:rsid w:val="00C02C45"/>
    <w:pPr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character" w:customStyle="1" w:styleId="a6">
    <w:name w:val="Верхний колонтитул Знак"/>
    <w:link w:val="a5"/>
    <w:locked/>
    <w:rsid w:val="00C02C45"/>
    <w:rPr>
      <w:sz w:val="24"/>
      <w:szCs w:val="24"/>
      <w:lang w:val="ru-RU" w:eastAsia="ru-RU" w:bidi="ar-SA"/>
    </w:rPr>
  </w:style>
  <w:style w:type="character" w:customStyle="1" w:styleId="Normal10">
    <w:name w:val="Normal1 Знак"/>
    <w:link w:val="Normal1"/>
    <w:rsid w:val="004414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912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1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1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55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4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7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1651</Words>
  <Characters>11339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PONETAIKINA</dc:creator>
  <cp:keywords/>
  <dc:description/>
  <cp:lastModifiedBy>Семенова Анастасия Александровна</cp:lastModifiedBy>
  <cp:revision>5</cp:revision>
  <cp:lastPrinted>2014-11-11T13:34:00Z</cp:lastPrinted>
  <dcterms:created xsi:type="dcterms:W3CDTF">2019-02-15T08:02:00Z</dcterms:created>
  <dcterms:modified xsi:type="dcterms:W3CDTF">2019-11-14T06:38:00Z</dcterms:modified>
</cp:coreProperties>
</file>