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7B4" w:rsidRPr="00171E68" w:rsidRDefault="004D37B4" w:rsidP="004D37B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D37B4">
        <w:rPr>
          <w:rFonts w:ascii="Times New Roman" w:hAnsi="Times New Roman"/>
          <w:b/>
          <w:sz w:val="24"/>
          <w:szCs w:val="24"/>
        </w:rPr>
        <w:t xml:space="preserve">Сравнительная </w:t>
      </w:r>
      <w:r>
        <w:rPr>
          <w:rFonts w:ascii="Times New Roman" w:hAnsi="Times New Roman"/>
          <w:b/>
          <w:sz w:val="24"/>
          <w:szCs w:val="24"/>
        </w:rPr>
        <w:t>э</w:t>
      </w:r>
      <w:r w:rsidR="009C7E3C" w:rsidRPr="00B57F20">
        <w:rPr>
          <w:rFonts w:ascii="Times New Roman" w:hAnsi="Times New Roman"/>
          <w:b/>
          <w:sz w:val="24"/>
          <w:szCs w:val="24"/>
        </w:rPr>
        <w:t xml:space="preserve">ффективность </w:t>
      </w:r>
      <w:r>
        <w:rPr>
          <w:rFonts w:ascii="Times New Roman" w:hAnsi="Times New Roman"/>
          <w:b/>
          <w:sz w:val="24"/>
          <w:szCs w:val="24"/>
        </w:rPr>
        <w:t xml:space="preserve">ингибиторов протонной помпы </w:t>
      </w:r>
      <w:r w:rsidR="00911A46">
        <w:rPr>
          <w:rFonts w:ascii="Times New Roman" w:hAnsi="Times New Roman"/>
          <w:b/>
          <w:sz w:val="24"/>
          <w:szCs w:val="24"/>
        </w:rPr>
        <w:t xml:space="preserve"> </w:t>
      </w:r>
      <w:r w:rsidRPr="004D37B4">
        <w:rPr>
          <w:rFonts w:ascii="Times New Roman" w:hAnsi="Times New Roman"/>
          <w:b/>
          <w:sz w:val="24"/>
          <w:szCs w:val="24"/>
        </w:rPr>
        <w:t>Рабепразол</w:t>
      </w:r>
      <w:r w:rsidR="00ED716A">
        <w:rPr>
          <w:rFonts w:ascii="Times New Roman" w:hAnsi="Times New Roman"/>
          <w:b/>
          <w:sz w:val="24"/>
          <w:szCs w:val="24"/>
        </w:rPr>
        <w:t>-С</w:t>
      </w:r>
      <w:r w:rsidRPr="004D37B4">
        <w:rPr>
          <w:rFonts w:ascii="Times New Roman" w:hAnsi="Times New Roman"/>
          <w:b/>
          <w:sz w:val="24"/>
          <w:szCs w:val="24"/>
        </w:rPr>
        <w:t>З</w:t>
      </w:r>
      <w:r w:rsidR="004C78B2">
        <w:rPr>
          <w:rFonts w:ascii="Times New Roman" w:hAnsi="Times New Roman"/>
          <w:b/>
          <w:sz w:val="24"/>
          <w:szCs w:val="24"/>
        </w:rPr>
        <w:t xml:space="preserve"> (ЗАО «Северная звезда»)</w:t>
      </w:r>
      <w:r w:rsidRPr="004D37B4">
        <w:rPr>
          <w:rFonts w:ascii="Times New Roman" w:hAnsi="Times New Roman"/>
          <w:b/>
          <w:sz w:val="24"/>
          <w:szCs w:val="24"/>
        </w:rPr>
        <w:t xml:space="preserve"> и Париет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37B4">
        <w:rPr>
          <w:rFonts w:ascii="Times New Roman" w:hAnsi="Times New Roman"/>
          <w:b/>
          <w:sz w:val="24"/>
          <w:szCs w:val="24"/>
        </w:rPr>
        <w:t>(N)</w:t>
      </w:r>
      <w:r w:rsidRPr="00B57F2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в </w:t>
      </w:r>
      <w:r w:rsidR="009C7E3C" w:rsidRPr="00B57F20">
        <w:rPr>
          <w:rFonts w:ascii="Times New Roman" w:hAnsi="Times New Roman"/>
          <w:b/>
          <w:sz w:val="24"/>
          <w:szCs w:val="24"/>
        </w:rPr>
        <w:t>эрадикационной терапии</w:t>
      </w:r>
      <w:r>
        <w:rPr>
          <w:rFonts w:ascii="Times New Roman" w:hAnsi="Times New Roman"/>
          <w:b/>
          <w:sz w:val="24"/>
          <w:szCs w:val="24"/>
        </w:rPr>
        <w:t xml:space="preserve"> первой линии</w:t>
      </w:r>
      <w:r w:rsidR="009C7E3C" w:rsidRPr="00B57F20">
        <w:rPr>
          <w:rFonts w:ascii="Times New Roman" w:hAnsi="Times New Roman"/>
          <w:b/>
          <w:sz w:val="24"/>
          <w:szCs w:val="24"/>
        </w:rPr>
        <w:t xml:space="preserve"> </w:t>
      </w:r>
      <w:r w:rsidR="00171E68">
        <w:rPr>
          <w:rFonts w:ascii="Times New Roman" w:hAnsi="Times New Roman"/>
          <w:b/>
          <w:sz w:val="24"/>
          <w:szCs w:val="24"/>
        </w:rPr>
        <w:t xml:space="preserve">у больных хроническим гастритом, ассоциированным с </w:t>
      </w:r>
      <w:r w:rsidR="00171E68">
        <w:rPr>
          <w:rFonts w:ascii="Times New Roman" w:hAnsi="Times New Roman"/>
          <w:b/>
          <w:sz w:val="24"/>
          <w:szCs w:val="24"/>
          <w:lang w:val="en-US"/>
        </w:rPr>
        <w:t>H</w:t>
      </w:r>
      <w:r w:rsidR="00171E68" w:rsidRPr="00171E68">
        <w:rPr>
          <w:rFonts w:ascii="Times New Roman" w:hAnsi="Times New Roman"/>
          <w:b/>
          <w:sz w:val="24"/>
          <w:szCs w:val="24"/>
        </w:rPr>
        <w:t>.</w:t>
      </w:r>
      <w:r w:rsidR="00171E68">
        <w:rPr>
          <w:rFonts w:ascii="Times New Roman" w:hAnsi="Times New Roman"/>
          <w:b/>
          <w:sz w:val="24"/>
          <w:szCs w:val="24"/>
          <w:lang w:val="en-US"/>
        </w:rPr>
        <w:t>pylori</w:t>
      </w:r>
    </w:p>
    <w:p w:rsidR="009C7E3C" w:rsidRPr="00B57F20" w:rsidRDefault="009C7E3C" w:rsidP="004D37B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57F20">
        <w:rPr>
          <w:rFonts w:ascii="Times New Roman" w:hAnsi="Times New Roman"/>
          <w:sz w:val="24"/>
          <w:szCs w:val="24"/>
        </w:rPr>
        <w:t>Киреева Н.В.</w:t>
      </w:r>
    </w:p>
    <w:p w:rsidR="0075482E" w:rsidRPr="00B57F20" w:rsidRDefault="009C7E3C" w:rsidP="004D37B4">
      <w:pPr>
        <w:spacing w:after="0" w:line="36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B57F20">
        <w:rPr>
          <w:rFonts w:ascii="Times New Roman" w:hAnsi="Times New Roman"/>
          <w:sz w:val="24"/>
          <w:szCs w:val="24"/>
          <w:shd w:val="clear" w:color="auto" w:fill="FFFFFF"/>
        </w:rPr>
        <w:t xml:space="preserve">ФГАОУ ВО Первый МГМУ имени И.М. Сеченова Минздрава России </w:t>
      </w:r>
    </w:p>
    <w:p w:rsidR="0075482E" w:rsidRPr="00B57F20" w:rsidRDefault="009C7E3C" w:rsidP="004D37B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57F20">
        <w:rPr>
          <w:rFonts w:ascii="Times New Roman" w:hAnsi="Times New Roman"/>
          <w:sz w:val="24"/>
          <w:szCs w:val="24"/>
          <w:shd w:val="clear" w:color="auto" w:fill="FFFFFF"/>
        </w:rPr>
        <w:t>(Сеченовский университет)</w:t>
      </w:r>
      <w:r w:rsidRPr="00B57F20">
        <w:rPr>
          <w:rFonts w:ascii="Times New Roman" w:hAnsi="Times New Roman"/>
          <w:sz w:val="24"/>
          <w:szCs w:val="24"/>
        </w:rPr>
        <w:t xml:space="preserve">, </w:t>
      </w:r>
      <w:r w:rsidRPr="00B57F20">
        <w:rPr>
          <w:rFonts w:ascii="Times New Roman" w:hAnsi="Times New Roman"/>
          <w:iCs/>
          <w:sz w:val="24"/>
          <w:szCs w:val="24"/>
        </w:rPr>
        <w:t xml:space="preserve">119991, </w:t>
      </w:r>
      <w:r w:rsidRPr="00B57F20">
        <w:rPr>
          <w:rFonts w:ascii="Times New Roman" w:hAnsi="Times New Roman"/>
          <w:sz w:val="24"/>
          <w:szCs w:val="24"/>
        </w:rPr>
        <w:t>Москва, Россия</w:t>
      </w:r>
    </w:p>
    <w:p w:rsidR="009C7E3C" w:rsidRPr="00B57F20" w:rsidRDefault="009C7E3C" w:rsidP="004D37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7F20">
        <w:rPr>
          <w:rFonts w:ascii="Times New Roman" w:hAnsi="Times New Roman"/>
          <w:b/>
          <w:sz w:val="24"/>
          <w:szCs w:val="24"/>
        </w:rPr>
        <w:t>Наталья Викторовна Киреева</w:t>
      </w:r>
      <w:r w:rsidRPr="00B57F20">
        <w:rPr>
          <w:rFonts w:ascii="Times New Roman" w:hAnsi="Times New Roman"/>
          <w:sz w:val="24"/>
          <w:szCs w:val="24"/>
        </w:rPr>
        <w:t xml:space="preserve"> - </w:t>
      </w:r>
      <w:r w:rsidRPr="00B57F20">
        <w:rPr>
          <w:rFonts w:ascii="Times New Roman" w:hAnsi="Times New Roman"/>
          <w:iCs/>
          <w:sz w:val="24"/>
          <w:szCs w:val="24"/>
        </w:rPr>
        <w:t xml:space="preserve">кандидат медицинских наук, доцент, доцент кафедры поликлинической терапии лечебного факультета, </w:t>
      </w:r>
    </w:p>
    <w:p w:rsidR="009C7E3C" w:rsidRPr="00B57F20" w:rsidRDefault="009C7E3C" w:rsidP="004D37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7F20">
        <w:rPr>
          <w:rFonts w:ascii="Times New Roman" w:hAnsi="Times New Roman"/>
          <w:sz w:val="24"/>
          <w:szCs w:val="24"/>
          <w:lang w:val="en-US"/>
        </w:rPr>
        <w:t>kireeva</w:t>
      </w:r>
      <w:r w:rsidRPr="00B57F20">
        <w:rPr>
          <w:rFonts w:ascii="Times New Roman" w:hAnsi="Times New Roman"/>
          <w:sz w:val="24"/>
          <w:szCs w:val="24"/>
        </w:rPr>
        <w:t>_</w:t>
      </w:r>
      <w:r w:rsidRPr="00B57F20">
        <w:rPr>
          <w:rFonts w:ascii="Times New Roman" w:hAnsi="Times New Roman"/>
          <w:sz w:val="24"/>
          <w:szCs w:val="24"/>
          <w:lang w:val="en-US"/>
        </w:rPr>
        <w:t>nat</w:t>
      </w:r>
      <w:r w:rsidRPr="00B57F20">
        <w:rPr>
          <w:rFonts w:ascii="Times New Roman" w:hAnsi="Times New Roman"/>
          <w:sz w:val="24"/>
          <w:szCs w:val="24"/>
        </w:rPr>
        <w:t>@</w:t>
      </w:r>
      <w:r w:rsidRPr="00B57F20">
        <w:rPr>
          <w:rFonts w:ascii="Times New Roman" w:hAnsi="Times New Roman"/>
          <w:sz w:val="24"/>
          <w:szCs w:val="24"/>
          <w:lang w:val="en-US"/>
        </w:rPr>
        <w:t>inbox</w:t>
      </w:r>
      <w:r w:rsidRPr="00B57F20">
        <w:rPr>
          <w:rFonts w:ascii="Times New Roman" w:hAnsi="Times New Roman"/>
          <w:sz w:val="24"/>
          <w:szCs w:val="24"/>
        </w:rPr>
        <w:t>.</w:t>
      </w:r>
      <w:r w:rsidRPr="00B57F20">
        <w:rPr>
          <w:rFonts w:ascii="Times New Roman" w:hAnsi="Times New Roman"/>
          <w:sz w:val="24"/>
          <w:szCs w:val="24"/>
          <w:lang w:val="en-US"/>
        </w:rPr>
        <w:t>ru</w:t>
      </w:r>
      <w:r w:rsidRPr="00B57F20">
        <w:rPr>
          <w:rFonts w:ascii="Times New Roman" w:hAnsi="Times New Roman"/>
          <w:sz w:val="24"/>
          <w:szCs w:val="24"/>
        </w:rPr>
        <w:t>, тел.:  (916) 283 37 87.</w:t>
      </w:r>
    </w:p>
    <w:p w:rsidR="009C7E3C" w:rsidRPr="00B57F20" w:rsidRDefault="009C7E3C" w:rsidP="004D37B4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D62E5" w:rsidRPr="00B57F20" w:rsidRDefault="00725470" w:rsidP="004D37B4">
      <w:pPr>
        <w:shd w:val="clear" w:color="auto" w:fill="FFFFFF"/>
        <w:spacing w:after="0" w:line="360" w:lineRule="auto"/>
        <w:ind w:firstLine="713"/>
        <w:jc w:val="both"/>
        <w:rPr>
          <w:rFonts w:ascii="Times New Roman" w:hAnsi="Times New Roman"/>
          <w:sz w:val="24"/>
          <w:szCs w:val="24"/>
        </w:rPr>
      </w:pPr>
      <w:r w:rsidRPr="00B57F20">
        <w:rPr>
          <w:rFonts w:ascii="Times New Roman" w:hAnsi="Times New Roman"/>
          <w:sz w:val="24"/>
          <w:szCs w:val="24"/>
        </w:rPr>
        <w:t>Helicobacter pylori (H.pylori) является хронической инфекцией</w:t>
      </w:r>
      <w:r w:rsidR="00597FFB" w:rsidRPr="00B57F20">
        <w:rPr>
          <w:rFonts w:ascii="Times New Roman" w:hAnsi="Times New Roman"/>
          <w:sz w:val="24"/>
          <w:szCs w:val="24"/>
        </w:rPr>
        <w:t>, широко распространенной</w:t>
      </w:r>
      <w:r w:rsidR="004D37B4">
        <w:rPr>
          <w:rFonts w:ascii="Times New Roman" w:hAnsi="Times New Roman"/>
          <w:sz w:val="24"/>
          <w:szCs w:val="24"/>
        </w:rPr>
        <w:t xml:space="preserve"> во всем мире. Так,</w:t>
      </w:r>
      <w:r w:rsidRPr="00B57F20">
        <w:rPr>
          <w:rFonts w:ascii="Times New Roman" w:hAnsi="Times New Roman"/>
          <w:sz w:val="24"/>
          <w:szCs w:val="24"/>
        </w:rPr>
        <w:t xml:space="preserve"> </w:t>
      </w:r>
      <w:r w:rsidR="00816FFA" w:rsidRPr="00B57F20">
        <w:rPr>
          <w:rFonts w:ascii="Times New Roman" w:hAnsi="Times New Roman"/>
          <w:sz w:val="24"/>
          <w:szCs w:val="24"/>
        </w:rPr>
        <w:t xml:space="preserve">около </w:t>
      </w:r>
      <w:r w:rsidR="004D37B4">
        <w:rPr>
          <w:rFonts w:ascii="Times New Roman" w:hAnsi="Times New Roman"/>
          <w:sz w:val="24"/>
          <w:szCs w:val="24"/>
        </w:rPr>
        <w:t>3</w:t>
      </w:r>
      <w:r w:rsidR="00816FFA" w:rsidRPr="00B57F20">
        <w:rPr>
          <w:rFonts w:ascii="Times New Roman" w:hAnsi="Times New Roman"/>
          <w:sz w:val="24"/>
          <w:szCs w:val="24"/>
        </w:rPr>
        <w:t>0</w:t>
      </w:r>
      <w:r w:rsidR="004D37B4">
        <w:rPr>
          <w:rFonts w:ascii="Times New Roman" w:hAnsi="Times New Roman"/>
          <w:sz w:val="24"/>
          <w:szCs w:val="24"/>
        </w:rPr>
        <w:t>-90</w:t>
      </w:r>
      <w:r w:rsidR="00816FFA" w:rsidRPr="00B57F20">
        <w:rPr>
          <w:rFonts w:ascii="Times New Roman" w:hAnsi="Times New Roman"/>
          <w:sz w:val="24"/>
          <w:szCs w:val="24"/>
        </w:rPr>
        <w:t>%</w:t>
      </w:r>
      <w:r w:rsidR="00EE5633" w:rsidRPr="00B57F20">
        <w:rPr>
          <w:rFonts w:ascii="Times New Roman" w:hAnsi="Times New Roman"/>
          <w:sz w:val="24"/>
          <w:szCs w:val="24"/>
        </w:rPr>
        <w:t xml:space="preserve"> населения</w:t>
      </w:r>
      <w:r w:rsidR="004D37B4">
        <w:rPr>
          <w:rFonts w:ascii="Times New Roman" w:hAnsi="Times New Roman"/>
          <w:sz w:val="24"/>
          <w:szCs w:val="24"/>
        </w:rPr>
        <w:t xml:space="preserve"> планеты</w:t>
      </w:r>
      <w:r w:rsidR="00EE5633" w:rsidRPr="00B57F20">
        <w:rPr>
          <w:rFonts w:ascii="Times New Roman" w:hAnsi="Times New Roman"/>
          <w:sz w:val="24"/>
          <w:szCs w:val="24"/>
        </w:rPr>
        <w:t xml:space="preserve"> инфицированы</w:t>
      </w:r>
      <w:r w:rsidR="004D37B4">
        <w:rPr>
          <w:rFonts w:ascii="Times New Roman" w:hAnsi="Times New Roman"/>
          <w:sz w:val="24"/>
          <w:szCs w:val="24"/>
        </w:rPr>
        <w:t xml:space="preserve"> данным микроорганизмом</w:t>
      </w:r>
      <w:r w:rsidR="00816FFA" w:rsidRPr="00B57F20">
        <w:rPr>
          <w:rFonts w:ascii="Times New Roman" w:hAnsi="Times New Roman"/>
          <w:sz w:val="24"/>
          <w:szCs w:val="24"/>
        </w:rPr>
        <w:t>.</w:t>
      </w:r>
      <w:r w:rsidRPr="00B57F20">
        <w:rPr>
          <w:rFonts w:ascii="Times New Roman" w:hAnsi="Times New Roman"/>
          <w:sz w:val="24"/>
          <w:szCs w:val="24"/>
        </w:rPr>
        <w:t xml:space="preserve"> Разница в распространен</w:t>
      </w:r>
      <w:r w:rsidR="00EE5633" w:rsidRPr="00B57F20">
        <w:rPr>
          <w:rFonts w:ascii="Times New Roman" w:hAnsi="Times New Roman"/>
          <w:sz w:val="24"/>
          <w:szCs w:val="24"/>
        </w:rPr>
        <w:t>ности между</w:t>
      </w:r>
      <w:r w:rsidR="004D37B4">
        <w:rPr>
          <w:rFonts w:ascii="Times New Roman" w:hAnsi="Times New Roman"/>
          <w:sz w:val="24"/>
          <w:szCs w:val="24"/>
        </w:rPr>
        <w:t xml:space="preserve"> различными</w:t>
      </w:r>
      <w:r w:rsidR="00EE5633" w:rsidRPr="00B57F20">
        <w:rPr>
          <w:rFonts w:ascii="Times New Roman" w:hAnsi="Times New Roman"/>
          <w:sz w:val="24"/>
          <w:szCs w:val="24"/>
        </w:rPr>
        <w:t xml:space="preserve"> странами варьирует</w:t>
      </w:r>
      <w:r w:rsidRPr="00B57F20">
        <w:rPr>
          <w:rFonts w:ascii="Times New Roman" w:hAnsi="Times New Roman"/>
          <w:sz w:val="24"/>
          <w:szCs w:val="24"/>
        </w:rPr>
        <w:t xml:space="preserve"> от 30% в </w:t>
      </w:r>
      <w:r w:rsidR="00EE5633" w:rsidRPr="00B57F20">
        <w:rPr>
          <w:rFonts w:ascii="Times New Roman" w:hAnsi="Times New Roman"/>
          <w:sz w:val="24"/>
          <w:szCs w:val="24"/>
        </w:rPr>
        <w:t xml:space="preserve">странах Северной Европы и </w:t>
      </w:r>
      <w:r w:rsidRPr="00B57F20">
        <w:rPr>
          <w:rFonts w:ascii="Times New Roman" w:hAnsi="Times New Roman"/>
          <w:sz w:val="24"/>
          <w:szCs w:val="24"/>
        </w:rPr>
        <w:t>Соединенных Штатах</w:t>
      </w:r>
      <w:r w:rsidR="00816FFA" w:rsidRPr="00B57F20">
        <w:rPr>
          <w:rFonts w:ascii="Times New Roman" w:hAnsi="Times New Roman"/>
          <w:sz w:val="24"/>
          <w:szCs w:val="24"/>
        </w:rPr>
        <w:t xml:space="preserve">, </w:t>
      </w:r>
      <w:r w:rsidRPr="00B57F20">
        <w:rPr>
          <w:rFonts w:ascii="Times New Roman" w:hAnsi="Times New Roman"/>
          <w:sz w:val="24"/>
          <w:szCs w:val="24"/>
        </w:rPr>
        <w:t xml:space="preserve"> до 90% в развиваю</w:t>
      </w:r>
      <w:r w:rsidR="004D37B4">
        <w:rPr>
          <w:rFonts w:ascii="Times New Roman" w:hAnsi="Times New Roman"/>
          <w:sz w:val="24"/>
          <w:szCs w:val="24"/>
        </w:rPr>
        <w:t xml:space="preserve">щихся странах </w:t>
      </w:r>
      <w:r w:rsidR="00F62FE9" w:rsidRPr="00B57F20">
        <w:rPr>
          <w:rFonts w:ascii="Times New Roman" w:hAnsi="Times New Roman"/>
          <w:sz w:val="24"/>
          <w:szCs w:val="24"/>
        </w:rPr>
        <w:t>[1</w:t>
      </w:r>
      <w:r w:rsidR="00AB1F62" w:rsidRPr="00B57F20">
        <w:rPr>
          <w:rFonts w:ascii="Times New Roman" w:hAnsi="Times New Roman"/>
          <w:sz w:val="24"/>
          <w:szCs w:val="24"/>
        </w:rPr>
        <w:t>,2</w:t>
      </w:r>
      <w:r w:rsidR="00EE5633" w:rsidRPr="00B57F20">
        <w:rPr>
          <w:rFonts w:ascii="Times New Roman" w:hAnsi="Times New Roman"/>
          <w:sz w:val="24"/>
          <w:szCs w:val="24"/>
        </w:rPr>
        <w:t>].</w:t>
      </w:r>
      <w:r w:rsidR="00597FFB" w:rsidRPr="00B57F20">
        <w:rPr>
          <w:rFonts w:ascii="Times New Roman" w:hAnsi="Times New Roman"/>
          <w:sz w:val="24"/>
          <w:szCs w:val="24"/>
        </w:rPr>
        <w:t xml:space="preserve"> Инфицированность Н. </w:t>
      </w:r>
      <w:r w:rsidR="00597FFB" w:rsidRPr="00B57F20">
        <w:rPr>
          <w:rFonts w:ascii="Times New Roman" w:hAnsi="Times New Roman"/>
          <w:sz w:val="24"/>
          <w:szCs w:val="24"/>
          <w:lang w:val="en-US"/>
        </w:rPr>
        <w:t>pylori</w:t>
      </w:r>
      <w:r w:rsidR="00597FFB" w:rsidRPr="00B57F20">
        <w:rPr>
          <w:rFonts w:ascii="Times New Roman" w:hAnsi="Times New Roman"/>
          <w:sz w:val="24"/>
          <w:szCs w:val="24"/>
        </w:rPr>
        <w:t xml:space="preserve"> </w:t>
      </w:r>
      <w:r w:rsidR="004D37B4">
        <w:rPr>
          <w:rFonts w:ascii="Times New Roman" w:hAnsi="Times New Roman"/>
          <w:sz w:val="24"/>
          <w:szCs w:val="24"/>
        </w:rPr>
        <w:t xml:space="preserve">населения Российской Федерации  колеблется </w:t>
      </w:r>
      <w:r w:rsidR="00597FFB" w:rsidRPr="00B57F20">
        <w:rPr>
          <w:rFonts w:ascii="Times New Roman" w:hAnsi="Times New Roman"/>
          <w:sz w:val="24"/>
          <w:szCs w:val="24"/>
        </w:rPr>
        <w:t>от 50% до 80%, в зависимости от региона</w:t>
      </w:r>
      <w:r w:rsidR="00706BB3">
        <w:rPr>
          <w:rFonts w:ascii="Times New Roman" w:hAnsi="Times New Roman"/>
          <w:sz w:val="24"/>
          <w:szCs w:val="24"/>
        </w:rPr>
        <w:t xml:space="preserve"> проживания</w:t>
      </w:r>
      <w:r w:rsidR="00597FFB" w:rsidRPr="00B57F20">
        <w:rPr>
          <w:rFonts w:ascii="Times New Roman" w:hAnsi="Times New Roman"/>
          <w:sz w:val="24"/>
          <w:szCs w:val="24"/>
        </w:rPr>
        <w:t xml:space="preserve">. </w:t>
      </w:r>
    </w:p>
    <w:p w:rsidR="00095D33" w:rsidRPr="00706BB3" w:rsidRDefault="00B45386" w:rsidP="004D37B4">
      <w:pPr>
        <w:shd w:val="clear" w:color="auto" w:fill="FFFFFF"/>
        <w:spacing w:after="0" w:line="360" w:lineRule="auto"/>
        <w:ind w:firstLine="713"/>
        <w:jc w:val="both"/>
        <w:rPr>
          <w:rFonts w:ascii="Times New Roman" w:hAnsi="Times New Roman"/>
          <w:sz w:val="24"/>
          <w:szCs w:val="24"/>
        </w:rPr>
      </w:pPr>
      <w:r w:rsidRPr="00706BB3">
        <w:rPr>
          <w:rFonts w:ascii="Times New Roman" w:hAnsi="Times New Roman"/>
          <w:sz w:val="24"/>
          <w:szCs w:val="24"/>
        </w:rPr>
        <w:t>С</w:t>
      </w:r>
      <w:r w:rsidR="00706BB3">
        <w:rPr>
          <w:rFonts w:ascii="Times New Roman" w:hAnsi="Times New Roman"/>
          <w:sz w:val="24"/>
          <w:szCs w:val="24"/>
        </w:rPr>
        <w:t xml:space="preserve"> начала </w:t>
      </w:r>
      <w:r w:rsidRPr="00706BB3">
        <w:rPr>
          <w:rFonts w:ascii="Times New Roman" w:hAnsi="Times New Roman"/>
          <w:sz w:val="24"/>
          <w:szCs w:val="24"/>
        </w:rPr>
        <w:t xml:space="preserve"> 1990-х годов</w:t>
      </w:r>
      <w:r w:rsidR="00706BB3">
        <w:rPr>
          <w:rFonts w:ascii="Times New Roman" w:hAnsi="Times New Roman"/>
          <w:sz w:val="24"/>
          <w:szCs w:val="24"/>
        </w:rPr>
        <w:t xml:space="preserve"> </w:t>
      </w:r>
      <w:r w:rsidRPr="00706BB3">
        <w:rPr>
          <w:rFonts w:ascii="Times New Roman" w:hAnsi="Times New Roman"/>
          <w:sz w:val="24"/>
          <w:szCs w:val="24"/>
        </w:rPr>
        <w:t xml:space="preserve"> эпидемиологич</w:t>
      </w:r>
      <w:r w:rsidR="0085614D">
        <w:rPr>
          <w:rFonts w:ascii="Times New Roman" w:hAnsi="Times New Roman"/>
          <w:sz w:val="24"/>
          <w:szCs w:val="24"/>
        </w:rPr>
        <w:t>еские исследования свидетельст</w:t>
      </w:r>
      <w:r w:rsidRPr="00706BB3">
        <w:rPr>
          <w:rFonts w:ascii="Times New Roman" w:hAnsi="Times New Roman"/>
          <w:sz w:val="24"/>
          <w:szCs w:val="24"/>
        </w:rPr>
        <w:t>в</w:t>
      </w:r>
      <w:r w:rsidR="00706BB3">
        <w:rPr>
          <w:rFonts w:ascii="Times New Roman" w:hAnsi="Times New Roman"/>
          <w:sz w:val="24"/>
          <w:szCs w:val="24"/>
        </w:rPr>
        <w:t>уют</w:t>
      </w:r>
      <w:r w:rsidRPr="00706BB3">
        <w:rPr>
          <w:rFonts w:ascii="Times New Roman" w:hAnsi="Times New Roman"/>
          <w:sz w:val="24"/>
          <w:szCs w:val="24"/>
        </w:rPr>
        <w:t xml:space="preserve"> о </w:t>
      </w:r>
      <w:r w:rsidR="00706BB3">
        <w:rPr>
          <w:rFonts w:ascii="Times New Roman" w:hAnsi="Times New Roman"/>
          <w:sz w:val="24"/>
          <w:szCs w:val="24"/>
        </w:rPr>
        <w:t xml:space="preserve">тесной </w:t>
      </w:r>
      <w:r w:rsidRPr="00706BB3">
        <w:rPr>
          <w:rFonts w:ascii="Times New Roman" w:hAnsi="Times New Roman"/>
          <w:sz w:val="24"/>
          <w:szCs w:val="24"/>
        </w:rPr>
        <w:t xml:space="preserve">связи </w:t>
      </w:r>
      <w:r w:rsidR="00706BB3">
        <w:rPr>
          <w:rFonts w:ascii="Times New Roman" w:hAnsi="Times New Roman"/>
          <w:sz w:val="24"/>
          <w:szCs w:val="24"/>
        </w:rPr>
        <w:t>хронического гастрита, язвенной болезни желудка и двенадцатиперстной кишки,</w:t>
      </w:r>
      <w:r w:rsidRPr="00706BB3">
        <w:rPr>
          <w:rFonts w:ascii="Times New Roman" w:hAnsi="Times New Roman"/>
          <w:sz w:val="24"/>
          <w:szCs w:val="24"/>
        </w:rPr>
        <w:t xml:space="preserve"> рак</w:t>
      </w:r>
      <w:r w:rsidR="00706BB3">
        <w:rPr>
          <w:rFonts w:ascii="Times New Roman" w:hAnsi="Times New Roman"/>
          <w:sz w:val="24"/>
          <w:szCs w:val="24"/>
        </w:rPr>
        <w:t>а</w:t>
      </w:r>
      <w:r w:rsidRPr="00706BB3">
        <w:rPr>
          <w:rFonts w:ascii="Times New Roman" w:hAnsi="Times New Roman"/>
          <w:sz w:val="24"/>
          <w:szCs w:val="24"/>
        </w:rPr>
        <w:t xml:space="preserve"> желудка</w:t>
      </w:r>
      <w:r w:rsidR="00706BB3" w:rsidRPr="00706BB3">
        <w:rPr>
          <w:rFonts w:ascii="Times New Roman" w:hAnsi="Times New Roman"/>
          <w:sz w:val="24"/>
          <w:szCs w:val="24"/>
        </w:rPr>
        <w:t xml:space="preserve"> </w:t>
      </w:r>
      <w:r w:rsidR="00706BB3">
        <w:rPr>
          <w:rFonts w:ascii="Times New Roman" w:hAnsi="Times New Roman"/>
          <w:sz w:val="24"/>
          <w:szCs w:val="24"/>
        </w:rPr>
        <w:t>с</w:t>
      </w:r>
      <w:r w:rsidR="00706BB3" w:rsidRPr="00706BB3">
        <w:rPr>
          <w:rFonts w:ascii="Times New Roman" w:hAnsi="Times New Roman"/>
          <w:sz w:val="24"/>
          <w:szCs w:val="24"/>
        </w:rPr>
        <w:t xml:space="preserve"> H. pylori</w:t>
      </w:r>
      <w:r w:rsidR="00706BB3">
        <w:rPr>
          <w:rFonts w:ascii="Times New Roman" w:hAnsi="Times New Roman"/>
          <w:sz w:val="24"/>
          <w:szCs w:val="24"/>
        </w:rPr>
        <w:t xml:space="preserve">. Данный микроорганизм  относится </w:t>
      </w:r>
      <w:r w:rsidRPr="00706BB3">
        <w:rPr>
          <w:rFonts w:ascii="Times New Roman" w:hAnsi="Times New Roman"/>
          <w:sz w:val="24"/>
          <w:szCs w:val="24"/>
        </w:rPr>
        <w:t xml:space="preserve"> к</w:t>
      </w:r>
      <w:r w:rsidR="00706BB3">
        <w:rPr>
          <w:rFonts w:ascii="Times New Roman" w:hAnsi="Times New Roman"/>
          <w:sz w:val="24"/>
          <w:szCs w:val="24"/>
        </w:rPr>
        <w:t xml:space="preserve"> канцероген</w:t>
      </w:r>
      <w:r w:rsidR="0085614D">
        <w:rPr>
          <w:rFonts w:ascii="Times New Roman" w:hAnsi="Times New Roman"/>
          <w:sz w:val="24"/>
          <w:szCs w:val="24"/>
        </w:rPr>
        <w:t xml:space="preserve">ному фактору </w:t>
      </w:r>
      <w:r w:rsidR="00706BB3" w:rsidRPr="00706BB3">
        <w:rPr>
          <w:rFonts w:ascii="Times New Roman" w:hAnsi="Times New Roman"/>
          <w:sz w:val="24"/>
          <w:szCs w:val="24"/>
        </w:rPr>
        <w:t>первого порядка</w:t>
      </w:r>
      <w:r w:rsidR="00706BB3">
        <w:rPr>
          <w:rFonts w:ascii="Times New Roman" w:hAnsi="Times New Roman"/>
          <w:sz w:val="24"/>
          <w:szCs w:val="24"/>
        </w:rPr>
        <w:t xml:space="preserve"> </w:t>
      </w:r>
      <w:r w:rsidR="004D62E5" w:rsidRPr="00706BB3">
        <w:rPr>
          <w:rFonts w:ascii="Times New Roman" w:hAnsi="Times New Roman"/>
          <w:sz w:val="24"/>
          <w:szCs w:val="24"/>
        </w:rPr>
        <w:t>[</w:t>
      </w:r>
      <w:r w:rsidR="00AB1F62" w:rsidRPr="00706BB3">
        <w:rPr>
          <w:rFonts w:ascii="Times New Roman" w:hAnsi="Times New Roman"/>
          <w:sz w:val="24"/>
          <w:szCs w:val="24"/>
        </w:rPr>
        <w:t>3</w:t>
      </w:r>
      <w:r w:rsidR="004D62E5" w:rsidRPr="00706BB3">
        <w:rPr>
          <w:rFonts w:ascii="Times New Roman" w:hAnsi="Times New Roman"/>
          <w:sz w:val="24"/>
          <w:szCs w:val="24"/>
        </w:rPr>
        <w:t>]. На фоне инфекции H.pylori развитие рака желудка у больных с хроническим атрофическим гастритом происходит в 2-9 раз ч</w:t>
      </w:r>
      <w:r w:rsidR="00AB1F62" w:rsidRPr="00706BB3">
        <w:rPr>
          <w:rFonts w:ascii="Times New Roman" w:hAnsi="Times New Roman"/>
          <w:sz w:val="24"/>
          <w:szCs w:val="24"/>
        </w:rPr>
        <w:t>аще, чем у неинфицированных</w:t>
      </w:r>
      <w:r w:rsidR="00B57F20" w:rsidRPr="00706BB3">
        <w:rPr>
          <w:rFonts w:ascii="Times New Roman" w:hAnsi="Times New Roman"/>
          <w:sz w:val="24"/>
          <w:szCs w:val="24"/>
        </w:rPr>
        <w:t xml:space="preserve"> пациентов</w:t>
      </w:r>
      <w:r w:rsidR="00AB1F62" w:rsidRPr="00706BB3">
        <w:rPr>
          <w:rFonts w:ascii="Times New Roman" w:hAnsi="Times New Roman"/>
          <w:sz w:val="24"/>
          <w:szCs w:val="24"/>
        </w:rPr>
        <w:t xml:space="preserve"> [4</w:t>
      </w:r>
      <w:r w:rsidR="004D62E5" w:rsidRPr="00706BB3">
        <w:rPr>
          <w:rFonts w:ascii="Times New Roman" w:hAnsi="Times New Roman"/>
          <w:sz w:val="24"/>
          <w:szCs w:val="24"/>
        </w:rPr>
        <w:t>].</w:t>
      </w:r>
      <w:r w:rsidR="00AB1F62" w:rsidRPr="00706BB3">
        <w:rPr>
          <w:rFonts w:ascii="Times New Roman" w:hAnsi="Times New Roman"/>
          <w:sz w:val="24"/>
          <w:szCs w:val="24"/>
        </w:rPr>
        <w:t xml:space="preserve"> </w:t>
      </w:r>
      <w:r w:rsidR="00095D33" w:rsidRPr="00706BB3">
        <w:rPr>
          <w:rFonts w:ascii="Times New Roman" w:hAnsi="Times New Roman"/>
          <w:sz w:val="24"/>
          <w:szCs w:val="24"/>
        </w:rPr>
        <w:t xml:space="preserve">Рак желудка  является одним из наиболее распространенных видов </w:t>
      </w:r>
      <w:r w:rsidR="0085614D">
        <w:rPr>
          <w:rFonts w:ascii="Times New Roman" w:hAnsi="Times New Roman"/>
          <w:sz w:val="24"/>
          <w:szCs w:val="24"/>
        </w:rPr>
        <w:t xml:space="preserve">онкологической патологии </w:t>
      </w:r>
      <w:r w:rsidR="00095D33" w:rsidRPr="00706BB3">
        <w:rPr>
          <w:rFonts w:ascii="Times New Roman" w:hAnsi="Times New Roman"/>
          <w:sz w:val="24"/>
          <w:szCs w:val="24"/>
        </w:rPr>
        <w:t xml:space="preserve"> и является третьей ведущей причиной смертности.</w:t>
      </w:r>
    </w:p>
    <w:p w:rsidR="00B57F20" w:rsidRPr="00B57F20" w:rsidRDefault="00597FFB" w:rsidP="004D37B4">
      <w:pPr>
        <w:shd w:val="clear" w:color="auto" w:fill="FFFFFF"/>
        <w:spacing w:after="0" w:line="360" w:lineRule="auto"/>
        <w:ind w:firstLine="713"/>
        <w:jc w:val="both"/>
        <w:rPr>
          <w:rFonts w:ascii="Times New Roman" w:hAnsi="Times New Roman"/>
          <w:sz w:val="24"/>
          <w:szCs w:val="24"/>
        </w:rPr>
      </w:pPr>
      <w:r w:rsidRPr="00B57F20">
        <w:rPr>
          <w:rFonts w:ascii="Times New Roman" w:hAnsi="Times New Roman"/>
          <w:sz w:val="24"/>
          <w:szCs w:val="24"/>
        </w:rPr>
        <w:t xml:space="preserve">Частота встречаемости язвенной болезни в популяции достигает 7-10%. </w:t>
      </w:r>
      <w:r w:rsidR="00112F0D" w:rsidRPr="00B57F20">
        <w:rPr>
          <w:rFonts w:ascii="Times New Roman" w:hAnsi="Times New Roman"/>
          <w:sz w:val="24"/>
          <w:szCs w:val="24"/>
        </w:rPr>
        <w:t xml:space="preserve">Существует четкая связь между инфекцией H.pylori и развитием язвенной болезни. </w:t>
      </w:r>
      <w:r w:rsidR="002E0239" w:rsidRPr="00B57F20">
        <w:rPr>
          <w:rFonts w:ascii="Times New Roman" w:hAnsi="Times New Roman"/>
          <w:sz w:val="24"/>
          <w:szCs w:val="24"/>
        </w:rPr>
        <w:t xml:space="preserve">Девяносто пять процентов </w:t>
      </w:r>
      <w:r w:rsidR="00706BB3">
        <w:rPr>
          <w:rFonts w:ascii="Times New Roman" w:hAnsi="Times New Roman"/>
          <w:sz w:val="24"/>
          <w:szCs w:val="24"/>
        </w:rPr>
        <w:t xml:space="preserve"> больных язвенной болезнью </w:t>
      </w:r>
      <w:r w:rsidR="002E0239" w:rsidRPr="00B57F20">
        <w:rPr>
          <w:rFonts w:ascii="Times New Roman" w:hAnsi="Times New Roman"/>
          <w:sz w:val="24"/>
          <w:szCs w:val="24"/>
        </w:rPr>
        <w:t xml:space="preserve">двенадцатиперстной кишки и 70% </w:t>
      </w:r>
      <w:r w:rsidR="00706BB3">
        <w:rPr>
          <w:rFonts w:ascii="Times New Roman" w:hAnsi="Times New Roman"/>
          <w:sz w:val="24"/>
          <w:szCs w:val="24"/>
        </w:rPr>
        <w:t xml:space="preserve">с </w:t>
      </w:r>
      <w:r w:rsidR="002E0239" w:rsidRPr="00B57F20">
        <w:rPr>
          <w:rFonts w:ascii="Times New Roman" w:hAnsi="Times New Roman"/>
          <w:sz w:val="24"/>
          <w:szCs w:val="24"/>
        </w:rPr>
        <w:t>язв</w:t>
      </w:r>
      <w:r w:rsidR="00706BB3">
        <w:rPr>
          <w:rFonts w:ascii="Times New Roman" w:hAnsi="Times New Roman"/>
          <w:sz w:val="24"/>
          <w:szCs w:val="24"/>
        </w:rPr>
        <w:t>ой</w:t>
      </w:r>
      <w:r w:rsidR="002E0239" w:rsidRPr="00B57F20">
        <w:rPr>
          <w:rFonts w:ascii="Times New Roman" w:hAnsi="Times New Roman"/>
          <w:sz w:val="24"/>
          <w:szCs w:val="24"/>
        </w:rPr>
        <w:t xml:space="preserve"> желудка </w:t>
      </w:r>
      <w:r w:rsidR="00706BB3">
        <w:rPr>
          <w:rFonts w:ascii="Times New Roman" w:hAnsi="Times New Roman"/>
          <w:sz w:val="24"/>
          <w:szCs w:val="24"/>
        </w:rPr>
        <w:t>инфицированы</w:t>
      </w:r>
      <w:r w:rsidR="002E0239" w:rsidRPr="00B57F20">
        <w:rPr>
          <w:rFonts w:ascii="Times New Roman" w:hAnsi="Times New Roman"/>
          <w:sz w:val="24"/>
          <w:szCs w:val="24"/>
        </w:rPr>
        <w:t xml:space="preserve"> H</w:t>
      </w:r>
      <w:r w:rsidR="00706BB3">
        <w:rPr>
          <w:rFonts w:ascii="Times New Roman" w:hAnsi="Times New Roman"/>
          <w:sz w:val="24"/>
          <w:szCs w:val="24"/>
        </w:rPr>
        <w:t>.</w:t>
      </w:r>
      <w:r w:rsidR="009B7B3C">
        <w:rPr>
          <w:rFonts w:ascii="Times New Roman" w:hAnsi="Times New Roman"/>
          <w:sz w:val="24"/>
          <w:szCs w:val="24"/>
        </w:rPr>
        <w:t xml:space="preserve"> pylori </w:t>
      </w:r>
      <w:r w:rsidR="004C6754" w:rsidRPr="00B57F20">
        <w:rPr>
          <w:rFonts w:ascii="Times New Roman" w:hAnsi="Times New Roman"/>
          <w:sz w:val="24"/>
          <w:szCs w:val="24"/>
        </w:rPr>
        <w:t>[5</w:t>
      </w:r>
      <w:r w:rsidR="00112F0D" w:rsidRPr="00B57F20">
        <w:rPr>
          <w:rFonts w:ascii="Times New Roman" w:hAnsi="Times New Roman"/>
          <w:sz w:val="24"/>
          <w:szCs w:val="24"/>
        </w:rPr>
        <w:t xml:space="preserve">]. </w:t>
      </w:r>
      <w:r w:rsidR="009B7B3C">
        <w:rPr>
          <w:rFonts w:ascii="Times New Roman" w:hAnsi="Times New Roman"/>
          <w:sz w:val="24"/>
          <w:szCs w:val="24"/>
        </w:rPr>
        <w:t>Многочисленные национальные и международные исследования свидетельствуют о том</w:t>
      </w:r>
      <w:r w:rsidR="00112F0D" w:rsidRPr="00B57F20">
        <w:rPr>
          <w:rFonts w:ascii="Times New Roman" w:hAnsi="Times New Roman"/>
          <w:sz w:val="24"/>
          <w:szCs w:val="24"/>
        </w:rPr>
        <w:t>, что эрадикация H. pylori является эффективн</w:t>
      </w:r>
      <w:r w:rsidR="009B7B3C">
        <w:rPr>
          <w:rFonts w:ascii="Times New Roman" w:hAnsi="Times New Roman"/>
          <w:sz w:val="24"/>
          <w:szCs w:val="24"/>
        </w:rPr>
        <w:t>ым и менее затратным методом терапии, сопровождающимся</w:t>
      </w:r>
      <w:r w:rsidR="00112F0D" w:rsidRPr="00B57F20">
        <w:rPr>
          <w:rFonts w:ascii="Times New Roman" w:hAnsi="Times New Roman"/>
          <w:sz w:val="24"/>
          <w:szCs w:val="24"/>
        </w:rPr>
        <w:t xml:space="preserve"> </w:t>
      </w:r>
      <w:r w:rsidR="009B7B3C">
        <w:rPr>
          <w:rFonts w:ascii="Times New Roman" w:hAnsi="Times New Roman"/>
          <w:sz w:val="24"/>
          <w:szCs w:val="24"/>
        </w:rPr>
        <w:t>сокращением сроков эпителизации</w:t>
      </w:r>
      <w:r w:rsidR="00112F0D" w:rsidRPr="00B57F20">
        <w:rPr>
          <w:rFonts w:ascii="Times New Roman" w:hAnsi="Times New Roman"/>
          <w:sz w:val="24"/>
          <w:szCs w:val="24"/>
        </w:rPr>
        <w:t xml:space="preserve"> </w:t>
      </w:r>
      <w:r w:rsidR="009B7B3C">
        <w:rPr>
          <w:rFonts w:ascii="Times New Roman" w:hAnsi="Times New Roman"/>
          <w:sz w:val="24"/>
          <w:szCs w:val="24"/>
        </w:rPr>
        <w:t>язвенного дефекта, значительным уменьшением частоты обострений и  осложнений, опасных для жизни (перфорация, кровотечение) и</w:t>
      </w:r>
      <w:r w:rsidR="00112F0D" w:rsidRPr="00B57F20">
        <w:rPr>
          <w:rFonts w:ascii="Times New Roman" w:hAnsi="Times New Roman"/>
          <w:sz w:val="24"/>
          <w:szCs w:val="24"/>
        </w:rPr>
        <w:t xml:space="preserve"> [</w:t>
      </w:r>
      <w:r w:rsidR="004C6754" w:rsidRPr="00B57F20">
        <w:rPr>
          <w:rFonts w:ascii="Times New Roman" w:hAnsi="Times New Roman"/>
          <w:sz w:val="24"/>
          <w:szCs w:val="24"/>
        </w:rPr>
        <w:t>6</w:t>
      </w:r>
      <w:r w:rsidR="00112F0D" w:rsidRPr="00B57F20">
        <w:rPr>
          <w:rFonts w:ascii="Times New Roman" w:hAnsi="Times New Roman"/>
          <w:sz w:val="24"/>
          <w:szCs w:val="24"/>
        </w:rPr>
        <w:t>].</w:t>
      </w:r>
      <w:r w:rsidR="00B57F20" w:rsidRPr="00B57F20">
        <w:rPr>
          <w:rFonts w:ascii="Times New Roman" w:hAnsi="Times New Roman"/>
          <w:sz w:val="24"/>
          <w:szCs w:val="24"/>
        </w:rPr>
        <w:t xml:space="preserve"> </w:t>
      </w:r>
    </w:p>
    <w:p w:rsidR="00935D41" w:rsidRDefault="00EE5633" w:rsidP="00935D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F20">
        <w:rPr>
          <w:rFonts w:ascii="Times New Roman" w:hAnsi="Times New Roman"/>
          <w:sz w:val="24"/>
          <w:szCs w:val="24"/>
        </w:rPr>
        <w:t>С момента открытия H</w:t>
      </w:r>
      <w:r w:rsidR="009B7B3C">
        <w:rPr>
          <w:rFonts w:ascii="Times New Roman" w:hAnsi="Times New Roman"/>
          <w:sz w:val="24"/>
          <w:szCs w:val="24"/>
        </w:rPr>
        <w:t>.</w:t>
      </w:r>
      <w:r w:rsidRPr="00B57F20">
        <w:rPr>
          <w:rFonts w:ascii="Times New Roman" w:hAnsi="Times New Roman"/>
          <w:sz w:val="24"/>
          <w:szCs w:val="24"/>
        </w:rPr>
        <w:t xml:space="preserve"> pylori в 1982 году разработ</w:t>
      </w:r>
      <w:r w:rsidR="0085614D">
        <w:rPr>
          <w:rFonts w:ascii="Times New Roman" w:hAnsi="Times New Roman"/>
          <w:sz w:val="24"/>
          <w:szCs w:val="24"/>
        </w:rPr>
        <w:t xml:space="preserve">ано </w:t>
      </w:r>
      <w:r w:rsidRPr="00B57F20">
        <w:rPr>
          <w:rFonts w:ascii="Times New Roman" w:hAnsi="Times New Roman"/>
          <w:sz w:val="24"/>
          <w:szCs w:val="24"/>
        </w:rPr>
        <w:t xml:space="preserve"> нескольких руководств по лечению</w:t>
      </w:r>
      <w:r w:rsidR="009B7B3C">
        <w:rPr>
          <w:rFonts w:ascii="Times New Roman" w:hAnsi="Times New Roman"/>
          <w:sz w:val="24"/>
          <w:szCs w:val="24"/>
        </w:rPr>
        <w:t xml:space="preserve"> да</w:t>
      </w:r>
      <w:r w:rsidR="00935D41">
        <w:rPr>
          <w:rFonts w:ascii="Times New Roman" w:hAnsi="Times New Roman"/>
          <w:sz w:val="24"/>
          <w:szCs w:val="24"/>
        </w:rPr>
        <w:t>нной инфек</w:t>
      </w:r>
      <w:r w:rsidR="009B7B3C">
        <w:rPr>
          <w:rFonts w:ascii="Times New Roman" w:hAnsi="Times New Roman"/>
          <w:sz w:val="24"/>
          <w:szCs w:val="24"/>
        </w:rPr>
        <w:t>ции, что</w:t>
      </w:r>
      <w:r w:rsidRPr="00B57F20">
        <w:rPr>
          <w:rFonts w:ascii="Times New Roman" w:hAnsi="Times New Roman"/>
          <w:sz w:val="24"/>
          <w:szCs w:val="24"/>
        </w:rPr>
        <w:t xml:space="preserve"> позволила достичь консенсуса по </w:t>
      </w:r>
      <w:r w:rsidR="00E30E41" w:rsidRPr="00B57F20">
        <w:rPr>
          <w:rFonts w:ascii="Times New Roman" w:hAnsi="Times New Roman"/>
          <w:sz w:val="24"/>
          <w:szCs w:val="24"/>
        </w:rPr>
        <w:t xml:space="preserve">определению </w:t>
      </w:r>
      <w:r w:rsidR="00E30E41" w:rsidRPr="00B57F20">
        <w:rPr>
          <w:rFonts w:ascii="Times New Roman" w:hAnsi="Times New Roman"/>
          <w:sz w:val="24"/>
          <w:szCs w:val="24"/>
        </w:rPr>
        <w:lastRenderedPageBreak/>
        <w:t>показаний</w:t>
      </w:r>
      <w:r w:rsidRPr="00B57F20">
        <w:rPr>
          <w:rFonts w:ascii="Times New Roman" w:hAnsi="Times New Roman"/>
          <w:sz w:val="24"/>
          <w:szCs w:val="24"/>
        </w:rPr>
        <w:t xml:space="preserve"> к </w:t>
      </w:r>
      <w:r w:rsidR="009B7B3C">
        <w:rPr>
          <w:rFonts w:ascii="Times New Roman" w:hAnsi="Times New Roman"/>
          <w:sz w:val="24"/>
          <w:szCs w:val="24"/>
        </w:rPr>
        <w:t xml:space="preserve">эрадикации </w:t>
      </w:r>
      <w:r w:rsidRPr="00B57F20">
        <w:rPr>
          <w:rFonts w:ascii="Times New Roman" w:hAnsi="Times New Roman"/>
          <w:sz w:val="24"/>
          <w:szCs w:val="24"/>
        </w:rPr>
        <w:t xml:space="preserve">Helicobacter pylori. </w:t>
      </w:r>
      <w:r w:rsidR="009B7B3C">
        <w:rPr>
          <w:rFonts w:ascii="Times New Roman" w:hAnsi="Times New Roman"/>
          <w:sz w:val="24"/>
          <w:szCs w:val="24"/>
        </w:rPr>
        <w:t xml:space="preserve">Однако в </w:t>
      </w:r>
      <w:r w:rsidR="00265DCA" w:rsidRPr="00B57F20">
        <w:rPr>
          <w:rFonts w:ascii="Times New Roman" w:hAnsi="Times New Roman"/>
          <w:sz w:val="24"/>
          <w:szCs w:val="24"/>
        </w:rPr>
        <w:t xml:space="preserve"> последние годы отмечается значительное снижение эффективности эрадикационной </w:t>
      </w:r>
      <w:r w:rsidR="008F7C68" w:rsidRPr="00B57F20">
        <w:rPr>
          <w:rFonts w:ascii="Times New Roman" w:hAnsi="Times New Roman"/>
          <w:sz w:val="24"/>
          <w:szCs w:val="24"/>
        </w:rPr>
        <w:t>терапии при стандартном подходе</w:t>
      </w:r>
      <w:r w:rsidR="003B49E4" w:rsidRPr="00B57F20">
        <w:rPr>
          <w:rFonts w:ascii="Times New Roman" w:hAnsi="Times New Roman"/>
          <w:sz w:val="24"/>
          <w:szCs w:val="24"/>
        </w:rPr>
        <w:t xml:space="preserve"> [8]</w:t>
      </w:r>
      <w:r w:rsidR="00265DCA" w:rsidRPr="00B57F20">
        <w:rPr>
          <w:rFonts w:ascii="Times New Roman" w:hAnsi="Times New Roman"/>
          <w:sz w:val="24"/>
          <w:szCs w:val="24"/>
        </w:rPr>
        <w:t>.</w:t>
      </w:r>
      <w:r w:rsidR="00935D41">
        <w:rPr>
          <w:rFonts w:ascii="Times New Roman" w:hAnsi="Times New Roman"/>
          <w:sz w:val="24"/>
          <w:szCs w:val="24"/>
        </w:rPr>
        <w:t xml:space="preserve"> </w:t>
      </w:r>
      <w:r w:rsidR="009B7B3C">
        <w:rPr>
          <w:rFonts w:ascii="Times New Roman" w:hAnsi="Times New Roman"/>
          <w:sz w:val="24"/>
          <w:szCs w:val="24"/>
        </w:rPr>
        <w:t>Это послужило основой для приняти</w:t>
      </w:r>
      <w:r w:rsidR="009734C0">
        <w:rPr>
          <w:rFonts w:ascii="Times New Roman" w:hAnsi="Times New Roman"/>
          <w:sz w:val="24"/>
          <w:szCs w:val="24"/>
        </w:rPr>
        <w:t>я</w:t>
      </w:r>
      <w:r w:rsidR="009B7B3C">
        <w:rPr>
          <w:rFonts w:ascii="Times New Roman" w:hAnsi="Times New Roman"/>
          <w:sz w:val="24"/>
          <w:szCs w:val="24"/>
        </w:rPr>
        <w:t xml:space="preserve"> </w:t>
      </w:r>
      <w:r w:rsidR="00935D41">
        <w:rPr>
          <w:rFonts w:ascii="Times New Roman" w:hAnsi="Times New Roman"/>
          <w:sz w:val="24"/>
          <w:szCs w:val="24"/>
        </w:rPr>
        <w:t xml:space="preserve">в 2015 году </w:t>
      </w:r>
      <w:r w:rsidR="009B7B3C">
        <w:rPr>
          <w:rFonts w:ascii="Times New Roman" w:hAnsi="Times New Roman"/>
          <w:sz w:val="24"/>
          <w:szCs w:val="24"/>
        </w:rPr>
        <w:t>пятого Маастрихтского</w:t>
      </w:r>
      <w:r w:rsidR="009B7B3C" w:rsidRPr="009B7B3C">
        <w:rPr>
          <w:rFonts w:ascii="Times New Roman" w:hAnsi="Times New Roman"/>
          <w:sz w:val="24"/>
          <w:szCs w:val="24"/>
        </w:rPr>
        <w:t>/</w:t>
      </w:r>
      <w:r w:rsidR="009B7B3C">
        <w:rPr>
          <w:rFonts w:ascii="Times New Roman" w:hAnsi="Times New Roman"/>
          <w:sz w:val="24"/>
          <w:szCs w:val="24"/>
        </w:rPr>
        <w:t xml:space="preserve">Флорентийского консенсуса по диагностике и лечению инфекции </w:t>
      </w:r>
      <w:r w:rsidR="009734C0" w:rsidRPr="009734C0">
        <w:rPr>
          <w:rFonts w:ascii="Times New Roman" w:hAnsi="Times New Roman"/>
          <w:sz w:val="24"/>
          <w:szCs w:val="24"/>
        </w:rPr>
        <w:t>H. pylori</w:t>
      </w:r>
      <w:r w:rsidR="00935D41">
        <w:rPr>
          <w:rFonts w:ascii="Times New Roman" w:hAnsi="Times New Roman"/>
          <w:sz w:val="24"/>
          <w:szCs w:val="24"/>
        </w:rPr>
        <w:t>. Основные положения данного соглашения определяют длительность эрадикаци</w:t>
      </w:r>
      <w:r w:rsidR="00A314D6">
        <w:rPr>
          <w:rFonts w:ascii="Times New Roman" w:hAnsi="Times New Roman"/>
          <w:sz w:val="24"/>
          <w:szCs w:val="24"/>
        </w:rPr>
        <w:t>и в течение</w:t>
      </w:r>
      <w:r w:rsidR="00935D41">
        <w:rPr>
          <w:rFonts w:ascii="Times New Roman" w:hAnsi="Times New Roman"/>
          <w:sz w:val="24"/>
          <w:szCs w:val="24"/>
        </w:rPr>
        <w:t xml:space="preserve"> 14 дней и </w:t>
      </w:r>
      <w:r w:rsidR="0085614D">
        <w:rPr>
          <w:rFonts w:ascii="Times New Roman" w:hAnsi="Times New Roman"/>
          <w:sz w:val="24"/>
          <w:szCs w:val="24"/>
        </w:rPr>
        <w:t xml:space="preserve">высокую </w:t>
      </w:r>
      <w:r w:rsidR="00935D41">
        <w:rPr>
          <w:rFonts w:ascii="Times New Roman" w:hAnsi="Times New Roman"/>
          <w:sz w:val="24"/>
          <w:szCs w:val="24"/>
        </w:rPr>
        <w:t xml:space="preserve"> эффективность ИПП</w:t>
      </w:r>
      <w:r w:rsidR="0085614D">
        <w:rPr>
          <w:rFonts w:ascii="Times New Roman" w:hAnsi="Times New Roman"/>
          <w:sz w:val="24"/>
          <w:szCs w:val="24"/>
        </w:rPr>
        <w:t xml:space="preserve"> в составе комплексной эрадикационной терапии</w:t>
      </w:r>
      <w:r w:rsidR="00935D41">
        <w:rPr>
          <w:rFonts w:ascii="Times New Roman" w:hAnsi="Times New Roman"/>
          <w:sz w:val="24"/>
          <w:szCs w:val="24"/>
        </w:rPr>
        <w:t xml:space="preserve"> </w:t>
      </w:r>
    </w:p>
    <w:p w:rsidR="00604F16" w:rsidRPr="00B57F20" w:rsidRDefault="00935D41" w:rsidP="00935D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образом. </w:t>
      </w:r>
      <w:r w:rsidR="009B7B3C">
        <w:rPr>
          <w:rFonts w:ascii="Times New Roman" w:hAnsi="Times New Roman"/>
          <w:sz w:val="24"/>
          <w:szCs w:val="24"/>
        </w:rPr>
        <w:t>ИПП</w:t>
      </w:r>
      <w:r w:rsidR="00A314D6">
        <w:rPr>
          <w:rFonts w:ascii="Times New Roman" w:hAnsi="Times New Roman"/>
          <w:sz w:val="24"/>
          <w:szCs w:val="24"/>
        </w:rPr>
        <w:t xml:space="preserve"> стали одними из основных препаратов </w:t>
      </w:r>
      <w:r w:rsidR="00AA2E51" w:rsidRPr="00B57F20">
        <w:rPr>
          <w:rFonts w:ascii="Times New Roman" w:hAnsi="Times New Roman"/>
          <w:sz w:val="24"/>
          <w:szCs w:val="24"/>
        </w:rPr>
        <w:t xml:space="preserve">в лечении инфекции </w:t>
      </w:r>
      <w:r w:rsidR="00AA2E51" w:rsidRPr="00B57F20">
        <w:rPr>
          <w:rFonts w:ascii="Times New Roman" w:hAnsi="Times New Roman"/>
          <w:sz w:val="24"/>
          <w:szCs w:val="24"/>
          <w:lang w:val="en-US"/>
        </w:rPr>
        <w:t>H</w:t>
      </w:r>
      <w:r w:rsidR="00A314D6">
        <w:rPr>
          <w:rFonts w:ascii="Times New Roman" w:hAnsi="Times New Roman"/>
          <w:sz w:val="24"/>
          <w:szCs w:val="24"/>
        </w:rPr>
        <w:t>.</w:t>
      </w:r>
      <w:r w:rsidR="00AA2E51" w:rsidRPr="00B57F20">
        <w:rPr>
          <w:rFonts w:ascii="Times New Roman" w:hAnsi="Times New Roman"/>
          <w:sz w:val="24"/>
          <w:szCs w:val="24"/>
        </w:rPr>
        <w:t xml:space="preserve"> </w:t>
      </w:r>
      <w:r w:rsidR="00AA2E51" w:rsidRPr="00B57F20">
        <w:rPr>
          <w:rFonts w:ascii="Times New Roman" w:hAnsi="Times New Roman"/>
          <w:sz w:val="24"/>
          <w:szCs w:val="24"/>
          <w:lang w:val="en-US"/>
        </w:rPr>
        <w:t>pylori</w:t>
      </w:r>
      <w:r w:rsidR="00AA2E51" w:rsidRPr="00B57F2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Наибольшей эффективностью среди всех ИПП принадлежит </w:t>
      </w:r>
      <w:r w:rsidR="00AA2E51" w:rsidRPr="00B57F20">
        <w:rPr>
          <w:rFonts w:ascii="Times New Roman" w:hAnsi="Times New Roman"/>
          <w:sz w:val="24"/>
          <w:szCs w:val="24"/>
        </w:rPr>
        <w:t>Рабепразол</w:t>
      </w:r>
      <w:r>
        <w:rPr>
          <w:rFonts w:ascii="Times New Roman" w:hAnsi="Times New Roman"/>
          <w:sz w:val="24"/>
          <w:szCs w:val="24"/>
        </w:rPr>
        <w:t xml:space="preserve">у, </w:t>
      </w:r>
      <w:r w:rsidR="00A314D6">
        <w:rPr>
          <w:rFonts w:ascii="Times New Roman" w:hAnsi="Times New Roman"/>
          <w:sz w:val="24"/>
          <w:szCs w:val="24"/>
        </w:rPr>
        <w:t>с двумя путями</w:t>
      </w:r>
      <w:r>
        <w:rPr>
          <w:rFonts w:ascii="Times New Roman" w:hAnsi="Times New Roman"/>
          <w:sz w:val="24"/>
          <w:szCs w:val="24"/>
        </w:rPr>
        <w:t xml:space="preserve"> метаболизма </w:t>
      </w:r>
      <w:r w:rsidR="00AA2E51" w:rsidRPr="00B57F20">
        <w:rPr>
          <w:rFonts w:ascii="Times New Roman" w:hAnsi="Times New Roman"/>
          <w:sz w:val="24"/>
          <w:szCs w:val="24"/>
        </w:rPr>
        <w:t xml:space="preserve">бензимидазола </w:t>
      </w:r>
      <w:r>
        <w:rPr>
          <w:rFonts w:ascii="Times New Roman" w:hAnsi="Times New Roman"/>
          <w:sz w:val="24"/>
          <w:szCs w:val="24"/>
        </w:rPr>
        <w:t>– ферментным через цитохром Р450 и неферментным</w:t>
      </w:r>
      <w:r w:rsidR="00AA2E51" w:rsidRPr="00B57F2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Это обеспечивает наиболее длительный </w:t>
      </w:r>
      <w:r w:rsidR="00AC440B">
        <w:rPr>
          <w:rFonts w:ascii="Times New Roman" w:hAnsi="Times New Roman"/>
          <w:sz w:val="24"/>
          <w:szCs w:val="24"/>
        </w:rPr>
        <w:t>период оптимального снижения уровня соляной кислоты на протяжении не менее 15-17 часов.</w:t>
      </w:r>
      <w:r w:rsidR="00AA2E51" w:rsidRPr="00B57F20">
        <w:rPr>
          <w:rFonts w:ascii="Times New Roman" w:hAnsi="Times New Roman"/>
          <w:sz w:val="24"/>
          <w:szCs w:val="24"/>
        </w:rPr>
        <w:t xml:space="preserve"> Его высокая константа диссоциации на основе кислоты позволяет активировать его в более широком диапазоне рН, что приводит к быстрому необратимому связыванию с насосом </w:t>
      </w:r>
      <w:r w:rsidR="00AA2E51" w:rsidRPr="00B57F20">
        <w:rPr>
          <w:rFonts w:ascii="Times New Roman" w:hAnsi="Times New Roman"/>
          <w:sz w:val="24"/>
          <w:szCs w:val="24"/>
          <w:lang w:val="en-US"/>
        </w:rPr>
        <w:t>H</w:t>
      </w:r>
      <w:r w:rsidR="00AA2E51" w:rsidRPr="00B57F20">
        <w:rPr>
          <w:rFonts w:ascii="Times New Roman" w:hAnsi="Times New Roman"/>
          <w:sz w:val="24"/>
          <w:szCs w:val="24"/>
        </w:rPr>
        <w:t xml:space="preserve"> + / </w:t>
      </w:r>
      <w:r w:rsidR="00AA2E51" w:rsidRPr="00B57F20">
        <w:rPr>
          <w:rFonts w:ascii="Times New Roman" w:hAnsi="Times New Roman"/>
          <w:sz w:val="24"/>
          <w:szCs w:val="24"/>
          <w:lang w:val="en-US"/>
        </w:rPr>
        <w:t>K</w:t>
      </w:r>
      <w:r w:rsidR="00AA2E51" w:rsidRPr="00B57F20">
        <w:rPr>
          <w:rFonts w:ascii="Times New Roman" w:hAnsi="Times New Roman"/>
          <w:sz w:val="24"/>
          <w:szCs w:val="24"/>
        </w:rPr>
        <w:t xml:space="preserve"> + -АТФазы и более быстрому началу действия</w:t>
      </w:r>
      <w:r w:rsidR="00A314D6">
        <w:rPr>
          <w:rFonts w:ascii="Times New Roman" w:hAnsi="Times New Roman"/>
          <w:sz w:val="24"/>
          <w:szCs w:val="24"/>
        </w:rPr>
        <w:t>,</w:t>
      </w:r>
      <w:r w:rsidR="00AA2E51" w:rsidRPr="00B57F20">
        <w:rPr>
          <w:rFonts w:ascii="Times New Roman" w:hAnsi="Times New Roman"/>
          <w:sz w:val="24"/>
          <w:szCs w:val="24"/>
        </w:rPr>
        <w:t xml:space="preserve"> по сравнению с омепразолом, лансопразолом и пантопразолом. В отличие от других </w:t>
      </w:r>
      <w:r w:rsidR="00A314D6">
        <w:rPr>
          <w:rFonts w:ascii="Times New Roman" w:hAnsi="Times New Roman"/>
          <w:sz w:val="24"/>
          <w:szCs w:val="24"/>
        </w:rPr>
        <w:t>ИПП</w:t>
      </w:r>
      <w:r w:rsidR="00AA2E51" w:rsidRPr="00B57F20">
        <w:rPr>
          <w:rFonts w:ascii="Times New Roman" w:hAnsi="Times New Roman"/>
          <w:sz w:val="24"/>
          <w:szCs w:val="24"/>
        </w:rPr>
        <w:t xml:space="preserve">, метаболизм рабепразола осуществляется главным образом за счет неферментативного восстановления производного тиоэфира, а изофермент цитохрома Р450 2С19 лишь частично участвует в его метаболизме. Поэтому влияние генетического полиморфизма в изоферменте цитохрома Р450 2С19 на фармакокинетику и фармакодинамику рабепразола </w:t>
      </w:r>
      <w:r w:rsidR="00A314D6">
        <w:rPr>
          <w:rFonts w:ascii="Times New Roman" w:hAnsi="Times New Roman"/>
          <w:sz w:val="24"/>
          <w:szCs w:val="24"/>
        </w:rPr>
        <w:t>носит ограниченный характер</w:t>
      </w:r>
      <w:r w:rsidR="00AA2E51" w:rsidRPr="00B57F20">
        <w:rPr>
          <w:rFonts w:ascii="Times New Roman" w:hAnsi="Times New Roman"/>
          <w:sz w:val="24"/>
          <w:szCs w:val="24"/>
        </w:rPr>
        <w:t xml:space="preserve">. У людей ежедневная доза 5-40 мг рабепразола ингибирует секрецию желудочной кислоты дозозависимым образом. Исследования </w:t>
      </w:r>
      <w:r w:rsidR="00AA2E51" w:rsidRPr="00B57F20">
        <w:rPr>
          <w:rFonts w:ascii="Times New Roman" w:hAnsi="Times New Roman"/>
          <w:sz w:val="24"/>
          <w:szCs w:val="24"/>
          <w:lang w:val="en-US"/>
        </w:rPr>
        <w:t>in</w:t>
      </w:r>
      <w:r w:rsidR="00AA2E51" w:rsidRPr="00B57F20">
        <w:rPr>
          <w:rFonts w:ascii="Times New Roman" w:hAnsi="Times New Roman"/>
          <w:sz w:val="24"/>
          <w:szCs w:val="24"/>
        </w:rPr>
        <w:t xml:space="preserve"> </w:t>
      </w:r>
      <w:r w:rsidR="00AA2E51" w:rsidRPr="00B57F20">
        <w:rPr>
          <w:rFonts w:ascii="Times New Roman" w:hAnsi="Times New Roman"/>
          <w:sz w:val="24"/>
          <w:szCs w:val="24"/>
          <w:lang w:val="en-US"/>
        </w:rPr>
        <w:t>vitro</w:t>
      </w:r>
      <w:r w:rsidR="00AA2E51" w:rsidRPr="00B57F20">
        <w:rPr>
          <w:rFonts w:ascii="Times New Roman" w:hAnsi="Times New Roman"/>
          <w:sz w:val="24"/>
          <w:szCs w:val="24"/>
        </w:rPr>
        <w:t xml:space="preserve"> показали, что рабепразол обладает более сильными антибактериальными свойствами против роста </w:t>
      </w:r>
      <w:r w:rsidR="00AA2E51" w:rsidRPr="00B57F20">
        <w:rPr>
          <w:rFonts w:ascii="Times New Roman" w:hAnsi="Times New Roman"/>
          <w:sz w:val="24"/>
          <w:szCs w:val="24"/>
          <w:lang w:val="en-US"/>
        </w:rPr>
        <w:t>H</w:t>
      </w:r>
      <w:r w:rsidR="00AA2E51" w:rsidRPr="00B57F20">
        <w:rPr>
          <w:rFonts w:ascii="Times New Roman" w:hAnsi="Times New Roman"/>
          <w:sz w:val="24"/>
          <w:szCs w:val="24"/>
        </w:rPr>
        <w:t xml:space="preserve">. </w:t>
      </w:r>
      <w:r w:rsidR="00AA2E51" w:rsidRPr="00B57F20">
        <w:rPr>
          <w:rFonts w:ascii="Times New Roman" w:hAnsi="Times New Roman"/>
          <w:sz w:val="24"/>
          <w:szCs w:val="24"/>
          <w:lang w:val="en-US"/>
        </w:rPr>
        <w:t>pylori</w:t>
      </w:r>
      <w:r w:rsidR="00AA2E51" w:rsidRPr="00B57F20">
        <w:rPr>
          <w:rFonts w:ascii="Times New Roman" w:hAnsi="Times New Roman"/>
          <w:sz w:val="24"/>
          <w:szCs w:val="24"/>
        </w:rPr>
        <w:t xml:space="preserve">, чем другие ингибиторы протонного насоса. Кроме того, его производное тиоэфира обладает более сильной ингибирующей активностью против роста и подвижности устойчивых к кларитромицину </w:t>
      </w:r>
      <w:r w:rsidR="00AA2E51" w:rsidRPr="00B57F20">
        <w:rPr>
          <w:rFonts w:ascii="Times New Roman" w:hAnsi="Times New Roman"/>
          <w:sz w:val="24"/>
          <w:szCs w:val="24"/>
          <w:lang w:val="en-US"/>
        </w:rPr>
        <w:t>H</w:t>
      </w:r>
      <w:r w:rsidR="00AA2E51" w:rsidRPr="00B57F20">
        <w:rPr>
          <w:rFonts w:ascii="Times New Roman" w:hAnsi="Times New Roman"/>
          <w:sz w:val="24"/>
          <w:szCs w:val="24"/>
        </w:rPr>
        <w:t xml:space="preserve">. </w:t>
      </w:r>
      <w:r w:rsidR="00AA2E51" w:rsidRPr="00B57F20">
        <w:rPr>
          <w:rFonts w:ascii="Times New Roman" w:hAnsi="Times New Roman"/>
          <w:sz w:val="24"/>
          <w:szCs w:val="24"/>
          <w:lang w:val="en-US"/>
        </w:rPr>
        <w:t>pylori</w:t>
      </w:r>
      <w:r w:rsidR="00AA2E51" w:rsidRPr="00B57F20">
        <w:rPr>
          <w:rFonts w:ascii="Times New Roman" w:hAnsi="Times New Roman"/>
          <w:sz w:val="24"/>
          <w:szCs w:val="24"/>
        </w:rPr>
        <w:t xml:space="preserve">, чем другие </w:t>
      </w:r>
      <w:r w:rsidR="00A314D6">
        <w:rPr>
          <w:rFonts w:ascii="Times New Roman" w:hAnsi="Times New Roman"/>
          <w:sz w:val="24"/>
          <w:szCs w:val="24"/>
        </w:rPr>
        <w:t xml:space="preserve">ИПП </w:t>
      </w:r>
      <w:r w:rsidR="00AA2E51" w:rsidRPr="00B57F20">
        <w:rPr>
          <w:rFonts w:ascii="Times New Roman" w:hAnsi="Times New Roman"/>
          <w:sz w:val="24"/>
          <w:szCs w:val="24"/>
        </w:rPr>
        <w:t xml:space="preserve"> или широко используемые противомикробные средства. </w:t>
      </w:r>
      <w:r w:rsidR="00A314D6">
        <w:rPr>
          <w:rFonts w:ascii="Times New Roman" w:hAnsi="Times New Roman"/>
          <w:sz w:val="24"/>
          <w:szCs w:val="24"/>
        </w:rPr>
        <w:t>Данные характеристики</w:t>
      </w:r>
      <w:r w:rsidR="00AA2E51" w:rsidRPr="00B57F20">
        <w:rPr>
          <w:rFonts w:ascii="Times New Roman" w:hAnsi="Times New Roman"/>
          <w:sz w:val="24"/>
          <w:szCs w:val="24"/>
        </w:rPr>
        <w:t xml:space="preserve"> рабепразола, </w:t>
      </w:r>
      <w:r w:rsidR="00A314D6">
        <w:rPr>
          <w:rFonts w:ascii="Times New Roman" w:hAnsi="Times New Roman"/>
          <w:sz w:val="24"/>
          <w:szCs w:val="24"/>
        </w:rPr>
        <w:t>проверенные в рандомизированных контролируемых</w:t>
      </w:r>
      <w:r w:rsidR="00AA2E51" w:rsidRPr="00B57F20">
        <w:rPr>
          <w:rFonts w:ascii="Times New Roman" w:hAnsi="Times New Roman"/>
          <w:sz w:val="24"/>
          <w:szCs w:val="24"/>
        </w:rPr>
        <w:t xml:space="preserve"> испытания</w:t>
      </w:r>
      <w:r w:rsidR="00A314D6">
        <w:rPr>
          <w:rFonts w:ascii="Times New Roman" w:hAnsi="Times New Roman"/>
          <w:sz w:val="24"/>
          <w:szCs w:val="24"/>
        </w:rPr>
        <w:t>х</w:t>
      </w:r>
      <w:r w:rsidR="00AA2E51" w:rsidRPr="00B57F20">
        <w:rPr>
          <w:rFonts w:ascii="Times New Roman" w:hAnsi="Times New Roman"/>
          <w:sz w:val="24"/>
          <w:szCs w:val="24"/>
        </w:rPr>
        <w:t xml:space="preserve"> </w:t>
      </w:r>
      <w:r w:rsidR="00A314D6">
        <w:rPr>
          <w:rFonts w:ascii="Times New Roman" w:hAnsi="Times New Roman"/>
          <w:sz w:val="24"/>
          <w:szCs w:val="24"/>
        </w:rPr>
        <w:t>свидетельствуют</w:t>
      </w:r>
      <w:r w:rsidR="001F1291" w:rsidRPr="00B57F20">
        <w:rPr>
          <w:rFonts w:ascii="Times New Roman" w:hAnsi="Times New Roman"/>
          <w:sz w:val="24"/>
          <w:szCs w:val="24"/>
        </w:rPr>
        <w:t xml:space="preserve"> об </w:t>
      </w:r>
      <w:r w:rsidR="00A314D6">
        <w:rPr>
          <w:rFonts w:ascii="Times New Roman" w:hAnsi="Times New Roman"/>
          <w:sz w:val="24"/>
          <w:szCs w:val="24"/>
        </w:rPr>
        <w:t>эквивалентности</w:t>
      </w:r>
      <w:r w:rsidR="00AA2E51" w:rsidRPr="00B57F20">
        <w:rPr>
          <w:rFonts w:ascii="Times New Roman" w:hAnsi="Times New Roman"/>
          <w:sz w:val="24"/>
          <w:szCs w:val="24"/>
        </w:rPr>
        <w:t xml:space="preserve"> </w:t>
      </w:r>
      <w:r w:rsidR="00A314D6">
        <w:rPr>
          <w:rFonts w:ascii="Times New Roman" w:hAnsi="Times New Roman"/>
          <w:sz w:val="24"/>
          <w:szCs w:val="24"/>
        </w:rPr>
        <w:t xml:space="preserve">ИПП </w:t>
      </w:r>
      <w:r w:rsidR="00AA2E51" w:rsidRPr="00B57F20">
        <w:rPr>
          <w:rFonts w:ascii="Times New Roman" w:hAnsi="Times New Roman"/>
          <w:sz w:val="24"/>
          <w:szCs w:val="24"/>
        </w:rPr>
        <w:t xml:space="preserve"> при использовании с двумя антибиотиками для </w:t>
      </w:r>
      <w:r w:rsidR="00A314D6">
        <w:rPr>
          <w:rFonts w:ascii="Times New Roman" w:hAnsi="Times New Roman"/>
          <w:sz w:val="24"/>
          <w:szCs w:val="24"/>
        </w:rPr>
        <w:t>элиминации</w:t>
      </w:r>
      <w:r w:rsidR="00AA2E51" w:rsidRPr="00B57F20">
        <w:rPr>
          <w:rFonts w:ascii="Times New Roman" w:hAnsi="Times New Roman"/>
          <w:sz w:val="24"/>
          <w:szCs w:val="24"/>
        </w:rPr>
        <w:t xml:space="preserve"> </w:t>
      </w:r>
      <w:r w:rsidR="00AA2E51" w:rsidRPr="00B57F20">
        <w:rPr>
          <w:rFonts w:ascii="Times New Roman" w:hAnsi="Times New Roman"/>
          <w:sz w:val="24"/>
          <w:szCs w:val="24"/>
          <w:lang w:val="en-US"/>
        </w:rPr>
        <w:t>H</w:t>
      </w:r>
      <w:r w:rsidR="00AA2E51" w:rsidRPr="00B57F20">
        <w:rPr>
          <w:rFonts w:ascii="Times New Roman" w:hAnsi="Times New Roman"/>
          <w:sz w:val="24"/>
          <w:szCs w:val="24"/>
        </w:rPr>
        <w:t>.</w:t>
      </w:r>
      <w:r w:rsidR="00AA2E51" w:rsidRPr="00B57F20">
        <w:rPr>
          <w:rFonts w:ascii="Times New Roman" w:hAnsi="Times New Roman"/>
          <w:sz w:val="24"/>
          <w:szCs w:val="24"/>
          <w:lang w:val="en-US"/>
        </w:rPr>
        <w:t>pylori</w:t>
      </w:r>
      <w:r w:rsidR="001F1291" w:rsidRPr="00B57F20">
        <w:rPr>
          <w:rFonts w:ascii="Times New Roman" w:hAnsi="Times New Roman"/>
          <w:sz w:val="24"/>
          <w:szCs w:val="24"/>
        </w:rPr>
        <w:t xml:space="preserve"> с показателями </w:t>
      </w:r>
      <w:r w:rsidR="00A314D6">
        <w:rPr>
          <w:rFonts w:ascii="Times New Roman" w:hAnsi="Times New Roman"/>
          <w:sz w:val="24"/>
          <w:szCs w:val="24"/>
        </w:rPr>
        <w:t>полноты эрадикации</w:t>
      </w:r>
      <w:r w:rsidR="001F1291" w:rsidRPr="00B57F20">
        <w:rPr>
          <w:rFonts w:ascii="Times New Roman" w:hAnsi="Times New Roman"/>
          <w:sz w:val="24"/>
          <w:szCs w:val="24"/>
        </w:rPr>
        <w:t xml:space="preserve"> </w:t>
      </w:r>
      <w:r w:rsidR="00A314D6">
        <w:rPr>
          <w:rFonts w:ascii="Times New Roman" w:hAnsi="Times New Roman"/>
          <w:sz w:val="24"/>
          <w:szCs w:val="24"/>
        </w:rPr>
        <w:t>80</w:t>
      </w:r>
      <w:r w:rsidR="001F1291" w:rsidRPr="00B57F20">
        <w:rPr>
          <w:rFonts w:ascii="Times New Roman" w:hAnsi="Times New Roman"/>
          <w:sz w:val="24"/>
          <w:szCs w:val="24"/>
        </w:rPr>
        <w:t>-8</w:t>
      </w:r>
      <w:r w:rsidR="00A314D6">
        <w:rPr>
          <w:rFonts w:ascii="Times New Roman" w:hAnsi="Times New Roman"/>
          <w:sz w:val="24"/>
          <w:szCs w:val="24"/>
        </w:rPr>
        <w:t>5</w:t>
      </w:r>
      <w:r w:rsidR="00AA2E51" w:rsidRPr="00B57F20">
        <w:rPr>
          <w:rFonts w:ascii="Times New Roman" w:hAnsi="Times New Roman"/>
          <w:sz w:val="24"/>
          <w:szCs w:val="24"/>
        </w:rPr>
        <w:t xml:space="preserve">% по принципу намерения лечить. </w:t>
      </w:r>
    </w:p>
    <w:p w:rsidR="009C7E3C" w:rsidRDefault="009C7E3C" w:rsidP="004D37B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F20">
        <w:rPr>
          <w:rFonts w:ascii="Times New Roman" w:hAnsi="Times New Roman"/>
          <w:b/>
          <w:sz w:val="24"/>
          <w:szCs w:val="24"/>
        </w:rPr>
        <w:t>Цель исследования</w:t>
      </w:r>
      <w:r w:rsidRPr="00B57F20">
        <w:rPr>
          <w:rFonts w:ascii="Times New Roman" w:hAnsi="Times New Roman"/>
          <w:sz w:val="24"/>
          <w:szCs w:val="24"/>
        </w:rPr>
        <w:t>: Оценить эффек</w:t>
      </w:r>
      <w:r w:rsidR="00ED716A">
        <w:rPr>
          <w:rFonts w:ascii="Times New Roman" w:hAnsi="Times New Roman"/>
          <w:sz w:val="24"/>
          <w:szCs w:val="24"/>
        </w:rPr>
        <w:t>тивность препаратов Рабепразол-С</w:t>
      </w:r>
      <w:r w:rsidRPr="00B57F20">
        <w:rPr>
          <w:rFonts w:ascii="Times New Roman" w:hAnsi="Times New Roman"/>
          <w:sz w:val="24"/>
          <w:szCs w:val="24"/>
        </w:rPr>
        <w:t>З</w:t>
      </w:r>
      <w:r w:rsidR="00ED716A">
        <w:rPr>
          <w:rFonts w:ascii="Times New Roman" w:hAnsi="Times New Roman"/>
          <w:sz w:val="24"/>
          <w:szCs w:val="24"/>
        </w:rPr>
        <w:t xml:space="preserve"> (ЗАО «Северная звезда»)</w:t>
      </w:r>
      <w:r w:rsidRPr="00B57F20">
        <w:rPr>
          <w:rFonts w:ascii="Times New Roman" w:hAnsi="Times New Roman"/>
          <w:sz w:val="24"/>
          <w:szCs w:val="24"/>
        </w:rPr>
        <w:t xml:space="preserve"> и Париет</w:t>
      </w:r>
      <w:r w:rsidRPr="00B57F20">
        <w:rPr>
          <w:rFonts w:ascii="Times New Roman" w:hAnsi="Times New Roman"/>
          <w:b/>
          <w:sz w:val="24"/>
          <w:szCs w:val="24"/>
        </w:rPr>
        <w:t>(</w:t>
      </w:r>
      <w:r w:rsidRPr="00B57F20">
        <w:rPr>
          <w:rFonts w:ascii="Times New Roman" w:hAnsi="Times New Roman"/>
          <w:sz w:val="24"/>
          <w:szCs w:val="24"/>
          <w:lang w:val="en-US"/>
        </w:rPr>
        <w:t>Novartis</w:t>
      </w:r>
      <w:r w:rsidRPr="00B57F20">
        <w:rPr>
          <w:rFonts w:ascii="Times New Roman" w:hAnsi="Times New Roman"/>
          <w:b/>
          <w:sz w:val="24"/>
          <w:szCs w:val="24"/>
        </w:rPr>
        <w:t xml:space="preserve">) </w:t>
      </w:r>
      <w:r w:rsidRPr="00B57F20">
        <w:rPr>
          <w:rFonts w:ascii="Times New Roman" w:hAnsi="Times New Roman"/>
          <w:sz w:val="24"/>
          <w:szCs w:val="24"/>
        </w:rPr>
        <w:t xml:space="preserve">в составе эрадикационной терапии при амбулаторном лечении пациентов с </w:t>
      </w:r>
      <w:r w:rsidR="00171E68">
        <w:rPr>
          <w:rFonts w:ascii="Times New Roman" w:hAnsi="Times New Roman"/>
          <w:sz w:val="24"/>
          <w:szCs w:val="24"/>
        </w:rPr>
        <w:t>хроническим гастритом</w:t>
      </w:r>
      <w:r w:rsidRPr="00B57F20">
        <w:rPr>
          <w:rFonts w:ascii="Times New Roman" w:hAnsi="Times New Roman"/>
          <w:sz w:val="24"/>
          <w:szCs w:val="24"/>
        </w:rPr>
        <w:t xml:space="preserve">, ассоциированным с </w:t>
      </w:r>
      <w:r w:rsidRPr="00B57F20">
        <w:rPr>
          <w:rFonts w:ascii="Times New Roman" w:hAnsi="Times New Roman"/>
          <w:sz w:val="24"/>
          <w:szCs w:val="24"/>
          <w:lang w:val="en-US"/>
        </w:rPr>
        <w:t>H</w:t>
      </w:r>
      <w:r w:rsidR="00A314D6">
        <w:rPr>
          <w:rFonts w:ascii="Times New Roman" w:hAnsi="Times New Roman"/>
          <w:sz w:val="24"/>
          <w:szCs w:val="24"/>
        </w:rPr>
        <w:t>.</w:t>
      </w:r>
      <w:r w:rsidRPr="00B57F20">
        <w:rPr>
          <w:rFonts w:ascii="Times New Roman" w:hAnsi="Times New Roman"/>
          <w:sz w:val="24"/>
          <w:szCs w:val="24"/>
        </w:rPr>
        <w:t xml:space="preserve"> </w:t>
      </w:r>
      <w:r w:rsidRPr="00B57F20">
        <w:rPr>
          <w:rFonts w:ascii="Times New Roman" w:hAnsi="Times New Roman"/>
          <w:sz w:val="24"/>
          <w:szCs w:val="24"/>
          <w:lang w:val="en-US"/>
        </w:rPr>
        <w:t>pylori</w:t>
      </w:r>
      <w:r w:rsidRPr="00B57F20">
        <w:rPr>
          <w:rFonts w:ascii="Times New Roman" w:hAnsi="Times New Roman"/>
          <w:sz w:val="24"/>
          <w:szCs w:val="24"/>
        </w:rPr>
        <w:t>.</w:t>
      </w:r>
    </w:p>
    <w:p w:rsidR="00AC440B" w:rsidRPr="00B57F20" w:rsidRDefault="00AC440B" w:rsidP="004D37B4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C7E3C" w:rsidRPr="00B57F20" w:rsidRDefault="009C7E3C" w:rsidP="004D37B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F20">
        <w:rPr>
          <w:rFonts w:ascii="Times New Roman" w:hAnsi="Times New Roman"/>
          <w:b/>
          <w:sz w:val="24"/>
          <w:szCs w:val="24"/>
        </w:rPr>
        <w:t>СТРУКТУРА исследования</w:t>
      </w:r>
      <w:r w:rsidRPr="00B57F20">
        <w:rPr>
          <w:rFonts w:ascii="Times New Roman" w:hAnsi="Times New Roman"/>
          <w:sz w:val="24"/>
          <w:szCs w:val="24"/>
        </w:rPr>
        <w:t>: Открытое, сравнительное исследование эффективности применения пр</w:t>
      </w:r>
      <w:r w:rsidR="00ED716A">
        <w:rPr>
          <w:rFonts w:ascii="Times New Roman" w:hAnsi="Times New Roman"/>
          <w:sz w:val="24"/>
          <w:szCs w:val="24"/>
        </w:rPr>
        <w:t>епаратов Рабепразол-СЗ ( «Северная звезда»</w:t>
      </w:r>
      <w:r w:rsidRPr="00B57F20">
        <w:rPr>
          <w:rFonts w:ascii="Times New Roman" w:hAnsi="Times New Roman"/>
          <w:sz w:val="24"/>
          <w:szCs w:val="24"/>
        </w:rPr>
        <w:t>) и Париет</w:t>
      </w:r>
      <w:r w:rsidRPr="00B57F20">
        <w:rPr>
          <w:rFonts w:ascii="Times New Roman" w:hAnsi="Times New Roman"/>
          <w:b/>
          <w:sz w:val="24"/>
          <w:szCs w:val="24"/>
        </w:rPr>
        <w:t xml:space="preserve"> (</w:t>
      </w:r>
      <w:r w:rsidRPr="00B57F20">
        <w:rPr>
          <w:rFonts w:ascii="Times New Roman" w:hAnsi="Times New Roman"/>
          <w:sz w:val="24"/>
          <w:szCs w:val="24"/>
          <w:lang w:val="en-US"/>
        </w:rPr>
        <w:t>Novartis</w:t>
      </w:r>
      <w:r w:rsidRPr="00B57F20">
        <w:rPr>
          <w:rFonts w:ascii="Times New Roman" w:hAnsi="Times New Roman"/>
          <w:b/>
          <w:sz w:val="24"/>
          <w:szCs w:val="24"/>
        </w:rPr>
        <w:t xml:space="preserve">) </w:t>
      </w:r>
      <w:r w:rsidRPr="00B57F20">
        <w:rPr>
          <w:rFonts w:ascii="Times New Roman" w:hAnsi="Times New Roman"/>
          <w:sz w:val="24"/>
          <w:szCs w:val="24"/>
        </w:rPr>
        <w:t xml:space="preserve">в составе </w:t>
      </w:r>
      <w:r w:rsidR="00ED716A">
        <w:rPr>
          <w:rFonts w:ascii="Times New Roman" w:hAnsi="Times New Roman"/>
          <w:sz w:val="24"/>
          <w:szCs w:val="24"/>
        </w:rPr>
        <w:t>комплексной эрадикационной</w:t>
      </w:r>
      <w:r w:rsidR="00AC440B">
        <w:rPr>
          <w:rFonts w:ascii="Times New Roman" w:hAnsi="Times New Roman"/>
          <w:sz w:val="24"/>
          <w:szCs w:val="24"/>
        </w:rPr>
        <w:t xml:space="preserve"> терапии</w:t>
      </w:r>
      <w:r w:rsidR="00171E68">
        <w:rPr>
          <w:rFonts w:ascii="Times New Roman" w:hAnsi="Times New Roman"/>
          <w:sz w:val="24"/>
          <w:szCs w:val="24"/>
        </w:rPr>
        <w:t xml:space="preserve"> </w:t>
      </w:r>
      <w:r w:rsidRPr="00B57F20">
        <w:rPr>
          <w:rFonts w:ascii="Times New Roman" w:hAnsi="Times New Roman"/>
          <w:sz w:val="24"/>
          <w:szCs w:val="24"/>
        </w:rPr>
        <w:t xml:space="preserve">при амбулаторном лечении пациентов с </w:t>
      </w:r>
      <w:r w:rsidR="00171E68">
        <w:rPr>
          <w:rFonts w:ascii="Times New Roman" w:hAnsi="Times New Roman"/>
          <w:sz w:val="24"/>
          <w:szCs w:val="24"/>
        </w:rPr>
        <w:t>хроническим гастритом, ассоциированным</w:t>
      </w:r>
      <w:r w:rsidRPr="00B57F20">
        <w:rPr>
          <w:rFonts w:ascii="Times New Roman" w:hAnsi="Times New Roman"/>
          <w:sz w:val="24"/>
          <w:szCs w:val="24"/>
        </w:rPr>
        <w:t xml:space="preserve"> с </w:t>
      </w:r>
      <w:r w:rsidRPr="00B57F20">
        <w:rPr>
          <w:rFonts w:ascii="Times New Roman" w:hAnsi="Times New Roman"/>
          <w:sz w:val="24"/>
          <w:szCs w:val="24"/>
          <w:lang w:val="en-US"/>
        </w:rPr>
        <w:t>H</w:t>
      </w:r>
      <w:r w:rsidR="00AC440B">
        <w:rPr>
          <w:rFonts w:ascii="Times New Roman" w:hAnsi="Times New Roman"/>
          <w:sz w:val="24"/>
          <w:szCs w:val="24"/>
        </w:rPr>
        <w:t>.</w:t>
      </w:r>
      <w:r w:rsidRPr="00B57F20">
        <w:rPr>
          <w:rFonts w:ascii="Times New Roman" w:hAnsi="Times New Roman"/>
          <w:sz w:val="24"/>
          <w:szCs w:val="24"/>
        </w:rPr>
        <w:t xml:space="preserve"> </w:t>
      </w:r>
      <w:r w:rsidRPr="00B57F20">
        <w:rPr>
          <w:rFonts w:ascii="Times New Roman" w:hAnsi="Times New Roman"/>
          <w:sz w:val="24"/>
          <w:szCs w:val="24"/>
          <w:lang w:val="en-US"/>
        </w:rPr>
        <w:t>pylori</w:t>
      </w:r>
      <w:r w:rsidRPr="00B57F20">
        <w:rPr>
          <w:rFonts w:ascii="Times New Roman" w:hAnsi="Times New Roman"/>
          <w:sz w:val="24"/>
          <w:szCs w:val="24"/>
        </w:rPr>
        <w:t>.</w:t>
      </w:r>
    </w:p>
    <w:p w:rsidR="009C7E3C" w:rsidRPr="00B57F20" w:rsidRDefault="009C7E3C" w:rsidP="004D37B4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57F20">
        <w:rPr>
          <w:rFonts w:ascii="Times New Roman" w:hAnsi="Times New Roman"/>
          <w:b/>
          <w:sz w:val="24"/>
          <w:szCs w:val="24"/>
        </w:rPr>
        <w:t>Критерии включения:</w:t>
      </w:r>
    </w:p>
    <w:p w:rsidR="009C7E3C" w:rsidRPr="00B57F20" w:rsidRDefault="009C7E3C" w:rsidP="004D37B4">
      <w:pPr>
        <w:pStyle w:val="a3"/>
        <w:numPr>
          <w:ilvl w:val="0"/>
          <w:numId w:val="2"/>
        </w:numPr>
        <w:spacing w:after="0" w:line="36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B57F20">
        <w:rPr>
          <w:rFonts w:ascii="Times New Roman" w:hAnsi="Times New Roman"/>
          <w:sz w:val="24"/>
          <w:szCs w:val="24"/>
        </w:rPr>
        <w:t>Возраст старше 18 лет,</w:t>
      </w:r>
    </w:p>
    <w:p w:rsidR="009C7E3C" w:rsidRPr="00B57F20" w:rsidRDefault="00171E68" w:rsidP="004D37B4">
      <w:pPr>
        <w:pStyle w:val="a3"/>
        <w:numPr>
          <w:ilvl w:val="0"/>
          <w:numId w:val="2"/>
        </w:numPr>
        <w:spacing w:after="0" w:line="36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Хронический гастрит, ассоциированный</w:t>
      </w:r>
      <w:r w:rsidR="009C7E3C" w:rsidRPr="00B57F20">
        <w:rPr>
          <w:rFonts w:ascii="Times New Roman" w:hAnsi="Times New Roman"/>
          <w:sz w:val="24"/>
          <w:szCs w:val="24"/>
        </w:rPr>
        <w:t xml:space="preserve"> с </w:t>
      </w:r>
      <w:r w:rsidR="009C7E3C" w:rsidRPr="00B57F20">
        <w:rPr>
          <w:rFonts w:ascii="Times New Roman" w:hAnsi="Times New Roman"/>
          <w:sz w:val="24"/>
          <w:szCs w:val="24"/>
          <w:lang w:val="en-US"/>
        </w:rPr>
        <w:t>H</w:t>
      </w:r>
      <w:r w:rsidR="009C7E3C" w:rsidRPr="00B57F20">
        <w:rPr>
          <w:rFonts w:ascii="Times New Roman" w:hAnsi="Times New Roman"/>
          <w:sz w:val="24"/>
          <w:szCs w:val="24"/>
        </w:rPr>
        <w:t>.</w:t>
      </w:r>
      <w:r w:rsidR="009C7E3C" w:rsidRPr="00B57F20">
        <w:rPr>
          <w:rFonts w:ascii="Times New Roman" w:hAnsi="Times New Roman"/>
          <w:sz w:val="24"/>
          <w:szCs w:val="24"/>
          <w:lang w:val="en-US"/>
        </w:rPr>
        <w:t>pylori</w:t>
      </w:r>
      <w:r w:rsidR="009C7E3C" w:rsidRPr="00B57F20">
        <w:rPr>
          <w:rFonts w:ascii="Times New Roman" w:hAnsi="Times New Roman"/>
          <w:sz w:val="24"/>
          <w:szCs w:val="24"/>
        </w:rPr>
        <w:t>.</w:t>
      </w:r>
    </w:p>
    <w:p w:rsidR="009C7E3C" w:rsidRPr="00B57F20" w:rsidRDefault="009C7E3C" w:rsidP="004D37B4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57F20">
        <w:rPr>
          <w:rFonts w:ascii="Times New Roman" w:hAnsi="Times New Roman"/>
          <w:b/>
          <w:sz w:val="24"/>
          <w:szCs w:val="24"/>
        </w:rPr>
        <w:t xml:space="preserve">Критерии </w:t>
      </w:r>
      <w:r w:rsidR="00AC440B">
        <w:rPr>
          <w:rFonts w:ascii="Times New Roman" w:hAnsi="Times New Roman"/>
          <w:b/>
          <w:sz w:val="24"/>
          <w:szCs w:val="24"/>
        </w:rPr>
        <w:t>исключения пациентов  из исследования</w:t>
      </w:r>
      <w:r w:rsidRPr="00B57F20">
        <w:rPr>
          <w:rFonts w:ascii="Times New Roman" w:hAnsi="Times New Roman"/>
          <w:b/>
          <w:sz w:val="24"/>
          <w:szCs w:val="24"/>
        </w:rPr>
        <w:t>:</w:t>
      </w:r>
    </w:p>
    <w:p w:rsidR="009C7E3C" w:rsidRPr="00B57F20" w:rsidRDefault="009C7E3C" w:rsidP="004D37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7F20">
        <w:rPr>
          <w:rFonts w:ascii="Times New Roman" w:hAnsi="Times New Roman"/>
          <w:sz w:val="24"/>
          <w:szCs w:val="24"/>
        </w:rPr>
        <w:t>1. Возраст моложе 18;</w:t>
      </w:r>
    </w:p>
    <w:p w:rsidR="009C7E3C" w:rsidRPr="00B57F20" w:rsidRDefault="009C7E3C" w:rsidP="004D37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7F20">
        <w:rPr>
          <w:rFonts w:ascii="Times New Roman" w:hAnsi="Times New Roman"/>
          <w:sz w:val="24"/>
          <w:szCs w:val="24"/>
        </w:rPr>
        <w:t xml:space="preserve">2. Отсутствие экспансии </w:t>
      </w:r>
      <w:r w:rsidRPr="00B57F20">
        <w:rPr>
          <w:rFonts w:ascii="Times New Roman" w:hAnsi="Times New Roman"/>
          <w:sz w:val="24"/>
          <w:szCs w:val="24"/>
          <w:lang w:val="en-US"/>
        </w:rPr>
        <w:t>H</w:t>
      </w:r>
      <w:r w:rsidR="00AC440B">
        <w:rPr>
          <w:rFonts w:ascii="Times New Roman" w:hAnsi="Times New Roman"/>
          <w:sz w:val="24"/>
          <w:szCs w:val="24"/>
        </w:rPr>
        <w:t>.</w:t>
      </w:r>
      <w:r w:rsidRPr="00B57F20">
        <w:rPr>
          <w:rFonts w:ascii="Times New Roman" w:hAnsi="Times New Roman"/>
          <w:sz w:val="24"/>
          <w:szCs w:val="24"/>
          <w:lang w:val="en-US"/>
        </w:rPr>
        <w:t>r</w:t>
      </w:r>
      <w:r w:rsidRPr="00B57F20">
        <w:rPr>
          <w:rFonts w:ascii="Times New Roman" w:hAnsi="Times New Roman"/>
          <w:sz w:val="24"/>
          <w:szCs w:val="24"/>
        </w:rPr>
        <w:t xml:space="preserve"> </w:t>
      </w:r>
      <w:r w:rsidRPr="00B57F20">
        <w:rPr>
          <w:rFonts w:ascii="Times New Roman" w:hAnsi="Times New Roman"/>
          <w:sz w:val="24"/>
          <w:szCs w:val="24"/>
          <w:lang w:val="en-US"/>
        </w:rPr>
        <w:t>pylori</w:t>
      </w:r>
      <w:r w:rsidRPr="00B57F20">
        <w:rPr>
          <w:rFonts w:ascii="Times New Roman" w:hAnsi="Times New Roman"/>
          <w:sz w:val="24"/>
          <w:szCs w:val="24"/>
        </w:rPr>
        <w:t>;</w:t>
      </w:r>
    </w:p>
    <w:p w:rsidR="009C7E3C" w:rsidRPr="00B57F20" w:rsidRDefault="009C7E3C" w:rsidP="004D37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7F20">
        <w:rPr>
          <w:rFonts w:ascii="Times New Roman" w:hAnsi="Times New Roman"/>
          <w:sz w:val="24"/>
          <w:szCs w:val="24"/>
        </w:rPr>
        <w:t>3. Длительно не рубцующаяся язва (&gt; 8 недель);</w:t>
      </w:r>
    </w:p>
    <w:p w:rsidR="009C7E3C" w:rsidRPr="00B57F20" w:rsidRDefault="009C7E3C" w:rsidP="004D37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7F20">
        <w:rPr>
          <w:rFonts w:ascii="Times New Roman" w:hAnsi="Times New Roman"/>
          <w:sz w:val="24"/>
          <w:szCs w:val="24"/>
        </w:rPr>
        <w:t>4. Осложненные формы заболевания;</w:t>
      </w:r>
    </w:p>
    <w:p w:rsidR="009C7E3C" w:rsidRPr="00B57F20" w:rsidRDefault="009C7E3C" w:rsidP="004D37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7F20">
        <w:rPr>
          <w:rFonts w:ascii="Times New Roman" w:hAnsi="Times New Roman"/>
          <w:sz w:val="24"/>
          <w:szCs w:val="24"/>
        </w:rPr>
        <w:t>5. Беременность, кормление грудью;</w:t>
      </w:r>
    </w:p>
    <w:p w:rsidR="009C7E3C" w:rsidRPr="00B57F20" w:rsidRDefault="009C7E3C" w:rsidP="004D37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7F20">
        <w:rPr>
          <w:rFonts w:ascii="Times New Roman" w:hAnsi="Times New Roman"/>
          <w:sz w:val="24"/>
          <w:szCs w:val="24"/>
        </w:rPr>
        <w:t>6.Наличие сопутствующих заболеваний органов пищеварения в фазе обострения (хронический панкреатит, хронический холецистит, хронический гепатит); сахарного диабета; тяжелых сопутствующих заболеваний (инфаркт миокарда, острое нарушение мозгового кровообращения); опухолей любой локализации;</w:t>
      </w:r>
    </w:p>
    <w:p w:rsidR="009C7E3C" w:rsidRPr="00B57F20" w:rsidRDefault="009C7E3C" w:rsidP="004D37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7F20">
        <w:rPr>
          <w:rFonts w:ascii="Times New Roman" w:hAnsi="Times New Roman"/>
          <w:sz w:val="24"/>
          <w:szCs w:val="24"/>
        </w:rPr>
        <w:t>7.Осложненный аллергологический анамнез в отношении препаратов используемых схем терапии;</w:t>
      </w:r>
    </w:p>
    <w:p w:rsidR="00A314D6" w:rsidRDefault="009C7E3C" w:rsidP="004D37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7F20">
        <w:rPr>
          <w:rFonts w:ascii="Times New Roman" w:hAnsi="Times New Roman"/>
          <w:sz w:val="24"/>
          <w:szCs w:val="24"/>
        </w:rPr>
        <w:t>8. ВИЧ-инфекция.</w:t>
      </w:r>
    </w:p>
    <w:p w:rsidR="00A314D6" w:rsidRDefault="00A314D6" w:rsidP="004D37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C7E3C" w:rsidRPr="00B57F20">
        <w:rPr>
          <w:rFonts w:ascii="Times New Roman" w:hAnsi="Times New Roman"/>
          <w:sz w:val="24"/>
          <w:szCs w:val="24"/>
        </w:rPr>
        <w:t>.Отказ пациента от дальнейшего участия в исследовании;</w:t>
      </w:r>
    </w:p>
    <w:p w:rsidR="009C7E3C" w:rsidRPr="00B57F20" w:rsidRDefault="00A314D6" w:rsidP="004D37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</w:t>
      </w:r>
      <w:r w:rsidR="009C7E3C" w:rsidRPr="00B57F20">
        <w:rPr>
          <w:rFonts w:ascii="Times New Roman" w:hAnsi="Times New Roman"/>
          <w:sz w:val="24"/>
          <w:szCs w:val="24"/>
        </w:rPr>
        <w:t>Беременность.</w:t>
      </w:r>
    </w:p>
    <w:p w:rsidR="009C7E3C" w:rsidRPr="00B57F20" w:rsidRDefault="009C7E3C" w:rsidP="004D37B4">
      <w:pPr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57F20">
        <w:rPr>
          <w:rFonts w:ascii="Times New Roman" w:hAnsi="Times New Roman"/>
          <w:b/>
          <w:sz w:val="24"/>
          <w:szCs w:val="24"/>
        </w:rPr>
        <w:t>Методы исследования:</w:t>
      </w:r>
    </w:p>
    <w:p w:rsidR="009C7E3C" w:rsidRPr="00B57F20" w:rsidRDefault="00A314D6" w:rsidP="004D37B4">
      <w:pPr>
        <w:pStyle w:val="a3"/>
        <w:numPr>
          <w:ilvl w:val="0"/>
          <w:numId w:val="1"/>
        </w:numPr>
        <w:spacing w:after="0" w:line="36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Клиническое </w:t>
      </w:r>
      <w:r w:rsidR="009C7E3C" w:rsidRPr="00B57F20">
        <w:rPr>
          <w:rFonts w:ascii="Times New Roman" w:hAnsi="Times New Roman"/>
          <w:sz w:val="24"/>
          <w:szCs w:val="24"/>
        </w:rPr>
        <w:t>обследование,</w:t>
      </w:r>
    </w:p>
    <w:p w:rsidR="009C7E3C" w:rsidRPr="00B57F20" w:rsidRDefault="009C7E3C" w:rsidP="004D37B4">
      <w:pPr>
        <w:pStyle w:val="a3"/>
        <w:numPr>
          <w:ilvl w:val="0"/>
          <w:numId w:val="1"/>
        </w:numPr>
        <w:spacing w:after="0" w:line="36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B57F20">
        <w:rPr>
          <w:rFonts w:ascii="Times New Roman" w:hAnsi="Times New Roman"/>
          <w:sz w:val="24"/>
          <w:szCs w:val="24"/>
        </w:rPr>
        <w:t>Эзофагогастродуоденоскопия (на первом этапе и на завершающем этапе),</w:t>
      </w:r>
    </w:p>
    <w:p w:rsidR="00757CF8" w:rsidRPr="00B57F20" w:rsidRDefault="009C7E3C" w:rsidP="004D37B4">
      <w:pPr>
        <w:pStyle w:val="a3"/>
        <w:numPr>
          <w:ilvl w:val="0"/>
          <w:numId w:val="1"/>
        </w:numPr>
        <w:spacing w:after="0" w:line="36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B57F20">
        <w:rPr>
          <w:rFonts w:ascii="Times New Roman" w:hAnsi="Times New Roman"/>
          <w:sz w:val="24"/>
          <w:szCs w:val="24"/>
        </w:rPr>
        <w:t xml:space="preserve">Дыхательный тест и/или морфологический метод определения </w:t>
      </w:r>
      <w:r w:rsidRPr="00B57F20">
        <w:rPr>
          <w:rFonts w:ascii="Times New Roman" w:hAnsi="Times New Roman"/>
          <w:sz w:val="24"/>
          <w:szCs w:val="24"/>
          <w:lang w:val="en-US"/>
        </w:rPr>
        <w:t>H</w:t>
      </w:r>
      <w:r w:rsidR="00A314D6">
        <w:rPr>
          <w:rFonts w:ascii="Times New Roman" w:hAnsi="Times New Roman"/>
          <w:sz w:val="24"/>
          <w:szCs w:val="24"/>
        </w:rPr>
        <w:t>.</w:t>
      </w:r>
      <w:r w:rsidRPr="00B57F20">
        <w:rPr>
          <w:rFonts w:ascii="Times New Roman" w:hAnsi="Times New Roman"/>
          <w:sz w:val="24"/>
          <w:szCs w:val="24"/>
        </w:rPr>
        <w:t xml:space="preserve"> </w:t>
      </w:r>
      <w:r w:rsidRPr="00B57F20">
        <w:rPr>
          <w:rFonts w:ascii="Times New Roman" w:hAnsi="Times New Roman"/>
          <w:sz w:val="24"/>
          <w:szCs w:val="24"/>
          <w:lang w:val="en-US"/>
        </w:rPr>
        <w:t>pylori</w:t>
      </w:r>
      <w:r w:rsidRPr="00B57F20">
        <w:rPr>
          <w:rFonts w:ascii="Times New Roman" w:hAnsi="Times New Roman"/>
          <w:sz w:val="24"/>
          <w:szCs w:val="24"/>
        </w:rPr>
        <w:t>.</w:t>
      </w:r>
    </w:p>
    <w:p w:rsidR="00757CF8" w:rsidRPr="00B57F20" w:rsidRDefault="00757CF8" w:rsidP="004D37B4">
      <w:pPr>
        <w:pStyle w:val="a3"/>
        <w:numPr>
          <w:ilvl w:val="0"/>
          <w:numId w:val="1"/>
        </w:numPr>
        <w:spacing w:after="0" w:line="36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B57F20">
        <w:rPr>
          <w:rFonts w:ascii="Times New Roman" w:hAnsi="Times New Roman"/>
          <w:noProof/>
          <w:sz w:val="24"/>
          <w:szCs w:val="24"/>
          <w:lang w:eastAsia="ru-RU"/>
        </w:rPr>
        <w:t xml:space="preserve">Полученные </w:t>
      </w:r>
      <w:r w:rsidRPr="00B57F20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данные подвергнуты статистической обработке на персональном компьютере с использованием пакета прикладных программ  « </w:t>
      </w:r>
      <w:r w:rsidRPr="00B57F20">
        <w:rPr>
          <w:rFonts w:ascii="Times New Roman" w:eastAsia="Times New Roman" w:hAnsi="Times New Roman"/>
          <w:sz w:val="24"/>
          <w:szCs w:val="24"/>
          <w:lang w:val="en-US" w:eastAsia="ru-RU"/>
        </w:rPr>
        <w:t>Statistica</w:t>
      </w:r>
      <w:r w:rsidRPr="00B57F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7F20">
        <w:rPr>
          <w:rFonts w:ascii="Times New Roman" w:eastAsia="Times New Roman" w:hAnsi="Times New Roman"/>
          <w:sz w:val="24"/>
          <w:szCs w:val="24"/>
          <w:lang w:val="en-US" w:eastAsia="ru-RU"/>
        </w:rPr>
        <w:t>for</w:t>
      </w:r>
      <w:r w:rsidRPr="00B57F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7F20">
        <w:rPr>
          <w:rFonts w:ascii="Times New Roman" w:eastAsia="Times New Roman" w:hAnsi="Times New Roman"/>
          <w:sz w:val="24"/>
          <w:szCs w:val="24"/>
          <w:lang w:val="en-US" w:eastAsia="ru-RU"/>
        </w:rPr>
        <w:t>Windows</w:t>
      </w:r>
      <w:r w:rsidRPr="00B57F20">
        <w:rPr>
          <w:rFonts w:ascii="Times New Roman" w:eastAsia="Times New Roman" w:hAnsi="Times New Roman"/>
          <w:sz w:val="24"/>
          <w:szCs w:val="24"/>
          <w:lang w:eastAsia="ru-RU"/>
        </w:rPr>
        <w:t xml:space="preserve"> 6,0» и табличного редактора «</w:t>
      </w:r>
      <w:r w:rsidRPr="00B57F20">
        <w:rPr>
          <w:rFonts w:ascii="Times New Roman" w:eastAsia="Times New Roman" w:hAnsi="Times New Roman"/>
          <w:sz w:val="24"/>
          <w:szCs w:val="24"/>
          <w:lang w:val="en-US" w:eastAsia="ru-RU"/>
        </w:rPr>
        <w:t>Excel</w:t>
      </w:r>
      <w:r w:rsidRPr="00B57F20">
        <w:rPr>
          <w:rFonts w:ascii="Times New Roman" w:eastAsia="Times New Roman" w:hAnsi="Times New Roman"/>
          <w:sz w:val="24"/>
          <w:szCs w:val="24"/>
          <w:lang w:eastAsia="ru-RU"/>
        </w:rPr>
        <w:t xml:space="preserve"> 7.0 </w:t>
      </w:r>
      <w:r w:rsidRPr="00B57F20">
        <w:rPr>
          <w:rFonts w:ascii="Times New Roman" w:eastAsia="Times New Roman" w:hAnsi="Times New Roman"/>
          <w:sz w:val="24"/>
          <w:szCs w:val="24"/>
          <w:lang w:val="en-US" w:eastAsia="ru-RU"/>
        </w:rPr>
        <w:t>for</w:t>
      </w:r>
      <w:r w:rsidRPr="00B57F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7F20">
        <w:rPr>
          <w:rFonts w:ascii="Times New Roman" w:eastAsia="Times New Roman" w:hAnsi="Times New Roman"/>
          <w:sz w:val="24"/>
          <w:szCs w:val="24"/>
          <w:lang w:val="en-US" w:eastAsia="ru-RU"/>
        </w:rPr>
        <w:t>Windows</w:t>
      </w:r>
      <w:r w:rsidRPr="00B57F20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5B04C3" w:rsidRPr="00B57F20" w:rsidRDefault="005B04C3" w:rsidP="00FA4EC6">
      <w:p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8102C" w:rsidRPr="00B57F20" w:rsidRDefault="001F1291" w:rsidP="004D37B4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57F20">
        <w:rPr>
          <w:rFonts w:ascii="Times New Roman" w:hAnsi="Times New Roman"/>
          <w:sz w:val="24"/>
          <w:szCs w:val="24"/>
        </w:rPr>
        <w:t xml:space="preserve">Исследование проводилось на клинической базе  кафедры поликлинической терапии лечебного факультета Сеченовского Университета. </w:t>
      </w:r>
      <w:r w:rsidR="0008102C" w:rsidRPr="00B57F20">
        <w:rPr>
          <w:rFonts w:ascii="Times New Roman" w:hAnsi="Times New Roman"/>
          <w:sz w:val="24"/>
          <w:szCs w:val="24"/>
        </w:rPr>
        <w:t xml:space="preserve">Под наблюдением находились </w:t>
      </w:r>
      <w:r w:rsidRPr="00B57F20">
        <w:rPr>
          <w:rFonts w:ascii="Times New Roman" w:hAnsi="Times New Roman"/>
          <w:sz w:val="24"/>
          <w:szCs w:val="24"/>
        </w:rPr>
        <w:t>60</w:t>
      </w:r>
      <w:r w:rsidR="0008102C" w:rsidRPr="00B57F20">
        <w:rPr>
          <w:rFonts w:ascii="Times New Roman" w:hAnsi="Times New Roman"/>
          <w:sz w:val="24"/>
          <w:szCs w:val="24"/>
        </w:rPr>
        <w:t xml:space="preserve"> </w:t>
      </w:r>
      <w:r w:rsidR="00BD6FF9" w:rsidRPr="00B57F20">
        <w:rPr>
          <w:rFonts w:ascii="Times New Roman" w:hAnsi="Times New Roman"/>
          <w:sz w:val="24"/>
          <w:szCs w:val="24"/>
        </w:rPr>
        <w:t>человек (мужчин – 27</w:t>
      </w:r>
      <w:r w:rsidR="00216D1A" w:rsidRPr="00B57F20">
        <w:rPr>
          <w:rFonts w:ascii="Times New Roman" w:hAnsi="Times New Roman"/>
          <w:sz w:val="24"/>
          <w:szCs w:val="24"/>
        </w:rPr>
        <w:t xml:space="preserve"> </w:t>
      </w:r>
      <w:r w:rsidR="005B04C3" w:rsidRPr="00B57F20">
        <w:rPr>
          <w:rFonts w:ascii="Times New Roman" w:hAnsi="Times New Roman"/>
          <w:sz w:val="24"/>
          <w:szCs w:val="24"/>
        </w:rPr>
        <w:t>(45% )</w:t>
      </w:r>
      <w:r w:rsidR="00BD6FF9" w:rsidRPr="00B57F20">
        <w:rPr>
          <w:rFonts w:ascii="Times New Roman" w:hAnsi="Times New Roman"/>
          <w:sz w:val="24"/>
          <w:szCs w:val="24"/>
        </w:rPr>
        <w:t xml:space="preserve">, женщин </w:t>
      </w:r>
      <w:r w:rsidR="005B04C3" w:rsidRPr="00B57F20">
        <w:rPr>
          <w:rFonts w:ascii="Times New Roman" w:hAnsi="Times New Roman"/>
          <w:sz w:val="24"/>
          <w:szCs w:val="24"/>
        </w:rPr>
        <w:t>–</w:t>
      </w:r>
      <w:r w:rsidR="00BD6FF9" w:rsidRPr="00B57F20">
        <w:rPr>
          <w:rFonts w:ascii="Times New Roman" w:hAnsi="Times New Roman"/>
          <w:sz w:val="24"/>
          <w:szCs w:val="24"/>
        </w:rPr>
        <w:t xml:space="preserve"> 33</w:t>
      </w:r>
      <w:r w:rsidR="00216D1A" w:rsidRPr="00B57F20">
        <w:rPr>
          <w:rFonts w:ascii="Times New Roman" w:hAnsi="Times New Roman"/>
          <w:sz w:val="24"/>
          <w:szCs w:val="24"/>
        </w:rPr>
        <w:t xml:space="preserve"> </w:t>
      </w:r>
      <w:r w:rsidR="005B04C3" w:rsidRPr="00B57F20">
        <w:rPr>
          <w:rFonts w:ascii="Times New Roman" w:hAnsi="Times New Roman"/>
          <w:sz w:val="24"/>
          <w:szCs w:val="24"/>
        </w:rPr>
        <w:t>(55%)</w:t>
      </w:r>
      <w:r w:rsidR="00BD6FF9" w:rsidRPr="00B57F20">
        <w:rPr>
          <w:rFonts w:ascii="Times New Roman" w:hAnsi="Times New Roman"/>
          <w:sz w:val="24"/>
          <w:szCs w:val="24"/>
        </w:rPr>
        <w:t xml:space="preserve">, в возрасте от 30 до 65 </w:t>
      </w:r>
      <w:r w:rsidR="00BD6FF9" w:rsidRPr="00B57F20">
        <w:rPr>
          <w:rFonts w:ascii="Times New Roman" w:hAnsi="Times New Roman"/>
          <w:sz w:val="24"/>
          <w:szCs w:val="24"/>
        </w:rPr>
        <w:lastRenderedPageBreak/>
        <w:t>лет, с хроническими заболеваниями желудка</w:t>
      </w:r>
      <w:r w:rsidR="005B04C3" w:rsidRPr="00B57F20">
        <w:rPr>
          <w:rFonts w:ascii="Times New Roman" w:hAnsi="Times New Roman"/>
          <w:sz w:val="24"/>
          <w:szCs w:val="24"/>
        </w:rPr>
        <w:t xml:space="preserve"> </w:t>
      </w:r>
      <w:r w:rsidR="00BD6FF9" w:rsidRPr="00B57F20">
        <w:rPr>
          <w:rFonts w:ascii="Times New Roman" w:hAnsi="Times New Roman"/>
          <w:sz w:val="24"/>
          <w:szCs w:val="24"/>
        </w:rPr>
        <w:t xml:space="preserve">и инфекцией </w:t>
      </w:r>
      <w:r w:rsidR="00BD6FF9" w:rsidRPr="00B57F20">
        <w:rPr>
          <w:rFonts w:ascii="Times New Roman" w:hAnsi="Times New Roman"/>
          <w:sz w:val="24"/>
          <w:szCs w:val="24"/>
          <w:lang w:val="en-US"/>
        </w:rPr>
        <w:t>H</w:t>
      </w:r>
      <w:r w:rsidR="00A314D6">
        <w:rPr>
          <w:rFonts w:ascii="Times New Roman" w:hAnsi="Times New Roman"/>
          <w:sz w:val="24"/>
          <w:szCs w:val="24"/>
        </w:rPr>
        <w:t>.</w:t>
      </w:r>
      <w:r w:rsidR="00BD6FF9" w:rsidRPr="00B57F20">
        <w:rPr>
          <w:rFonts w:ascii="Times New Roman" w:hAnsi="Times New Roman"/>
          <w:sz w:val="24"/>
          <w:szCs w:val="24"/>
        </w:rPr>
        <w:t xml:space="preserve"> </w:t>
      </w:r>
      <w:r w:rsidR="00BD6FF9" w:rsidRPr="00B57F20">
        <w:rPr>
          <w:rFonts w:ascii="Times New Roman" w:hAnsi="Times New Roman"/>
          <w:sz w:val="24"/>
          <w:szCs w:val="24"/>
          <w:lang w:val="en-US"/>
        </w:rPr>
        <w:t>pylori</w:t>
      </w:r>
      <w:r w:rsidR="00BD6FF9" w:rsidRPr="00B57F20">
        <w:rPr>
          <w:rFonts w:ascii="Times New Roman" w:hAnsi="Times New Roman"/>
          <w:sz w:val="24"/>
          <w:szCs w:val="24"/>
        </w:rPr>
        <w:t xml:space="preserve">. </w:t>
      </w:r>
      <w:r w:rsidR="005B04C3" w:rsidRPr="00B57F20">
        <w:rPr>
          <w:rFonts w:ascii="Times New Roman" w:hAnsi="Times New Roman"/>
          <w:sz w:val="24"/>
          <w:szCs w:val="24"/>
        </w:rPr>
        <w:t>Средний возраст составил 4</w:t>
      </w:r>
      <w:r w:rsidR="00296EA7" w:rsidRPr="00B57F20">
        <w:rPr>
          <w:rFonts w:ascii="Times New Roman" w:hAnsi="Times New Roman"/>
          <w:sz w:val="24"/>
          <w:szCs w:val="24"/>
        </w:rPr>
        <w:t>6,9</w:t>
      </w:r>
      <w:r w:rsidR="00296EA7" w:rsidRPr="00B57F20">
        <w:rPr>
          <w:rFonts w:ascii="Times New Roman" w:hAnsi="Times New Roman"/>
          <w:spacing w:val="-2"/>
          <w:sz w:val="24"/>
          <w:szCs w:val="24"/>
        </w:rPr>
        <w:t>±1,6</w:t>
      </w:r>
      <w:r w:rsidR="005B04C3" w:rsidRPr="00B57F20">
        <w:rPr>
          <w:rFonts w:ascii="Times New Roman" w:hAnsi="Times New Roman"/>
          <w:sz w:val="24"/>
          <w:szCs w:val="24"/>
        </w:rPr>
        <w:t xml:space="preserve"> лет.</w:t>
      </w:r>
    </w:p>
    <w:p w:rsidR="005B04C3" w:rsidRPr="00B57F20" w:rsidRDefault="005B04C3" w:rsidP="004D37B4">
      <w:pPr>
        <w:pStyle w:val="2"/>
        <w:spacing w:after="0" w:line="360" w:lineRule="auto"/>
        <w:ind w:firstLine="709"/>
        <w:jc w:val="both"/>
      </w:pPr>
      <w:r w:rsidRPr="00B57F20">
        <w:t xml:space="preserve">Классификационные критерии хронического гастрита базировались на рекомендациях В.Х. Василенко и соавт. (1987), Сиднейской систематизации 1990 года с дополнениями 1994 года в Лос-Анджелесе. Для определения степени активности гастритических изменений слизистой оболочки желудка (СОЖ) использовались классификационные критерии, предложенные М. </w:t>
      </w:r>
      <w:r w:rsidRPr="00B57F20">
        <w:rPr>
          <w:lang w:val="en-US"/>
        </w:rPr>
        <w:t>Stolte</w:t>
      </w:r>
      <w:r w:rsidRPr="00B57F20">
        <w:t xml:space="preserve"> </w:t>
      </w:r>
      <w:r w:rsidRPr="00B57F20">
        <w:rPr>
          <w:lang w:val="en-US"/>
        </w:rPr>
        <w:t>et</w:t>
      </w:r>
      <w:r w:rsidRPr="00B57F20">
        <w:t xml:space="preserve"> </w:t>
      </w:r>
      <w:r w:rsidRPr="00B57F20">
        <w:rPr>
          <w:lang w:val="en-US"/>
        </w:rPr>
        <w:t>al</w:t>
      </w:r>
      <w:r w:rsidRPr="00B57F20">
        <w:t xml:space="preserve">. (1989). Для определения характера инфильтративных изменений в СОЖ пользовались рекомендациями Л.И. Аруина и соавт. (1998). Для оценки атрофических изменений использовалась Сиднейская система (1994) с дополнениями </w:t>
      </w:r>
      <w:r w:rsidRPr="00B57F20">
        <w:rPr>
          <w:lang w:val="en-US"/>
        </w:rPr>
        <w:t>M</w:t>
      </w:r>
      <w:r w:rsidRPr="00B57F20">
        <w:t xml:space="preserve">. </w:t>
      </w:r>
      <w:r w:rsidRPr="00B57F20">
        <w:rPr>
          <w:lang w:val="en-US"/>
        </w:rPr>
        <w:t>Dixon</w:t>
      </w:r>
      <w:r w:rsidRPr="00B57F20">
        <w:t xml:space="preserve"> </w:t>
      </w:r>
      <w:r w:rsidRPr="00B57F20">
        <w:rPr>
          <w:lang w:val="en-US"/>
        </w:rPr>
        <w:t>et</w:t>
      </w:r>
      <w:r w:rsidRPr="00B57F20">
        <w:t xml:space="preserve"> </w:t>
      </w:r>
      <w:r w:rsidRPr="00B57F20">
        <w:rPr>
          <w:lang w:val="en-US"/>
        </w:rPr>
        <w:t>al</w:t>
      </w:r>
      <w:r w:rsidRPr="00B57F20">
        <w:t xml:space="preserve">. (1996). </w:t>
      </w:r>
    </w:p>
    <w:p w:rsidR="005B04C3" w:rsidRPr="00B57F20" w:rsidRDefault="005B04C3" w:rsidP="004D37B4">
      <w:pPr>
        <w:pStyle w:val="2"/>
        <w:spacing w:after="0" w:line="360" w:lineRule="auto"/>
        <w:ind w:firstLine="709"/>
        <w:jc w:val="both"/>
        <w:rPr>
          <w:spacing w:val="-2"/>
        </w:rPr>
      </w:pPr>
      <w:r w:rsidRPr="00B57F20">
        <w:t xml:space="preserve">Все пациенты обследованы по единой программе, включающей клинические, эндоскопические, </w:t>
      </w:r>
      <w:r w:rsidR="00296EA7" w:rsidRPr="00B57F20">
        <w:t xml:space="preserve">дыхательный тест и/или морфологический метод определения </w:t>
      </w:r>
      <w:r w:rsidR="00296EA7" w:rsidRPr="00B57F20">
        <w:rPr>
          <w:lang w:val="en-US"/>
        </w:rPr>
        <w:t>Helicobacter</w:t>
      </w:r>
      <w:r w:rsidR="00296EA7" w:rsidRPr="00B57F20">
        <w:t xml:space="preserve"> </w:t>
      </w:r>
      <w:r w:rsidR="00296EA7" w:rsidRPr="00B57F20">
        <w:rPr>
          <w:lang w:val="en-US"/>
        </w:rPr>
        <w:t>pylori</w:t>
      </w:r>
      <w:r w:rsidRPr="00B57F20">
        <w:t xml:space="preserve">. Все больные обследовались в динамике: до лечения и спустя 4 недели после начала терапии. </w:t>
      </w:r>
      <w:r w:rsidRPr="00B57F20">
        <w:rPr>
          <w:spacing w:val="-2"/>
        </w:rPr>
        <w:t>Всем обследованным выполнялась эзофагогастродуоденоскопия аппаратом фирмы «</w:t>
      </w:r>
      <w:r w:rsidRPr="00B57F20">
        <w:rPr>
          <w:spacing w:val="-2"/>
          <w:lang w:val="en-US"/>
        </w:rPr>
        <w:t>Olympus</w:t>
      </w:r>
      <w:r w:rsidRPr="00B57F20">
        <w:rPr>
          <w:spacing w:val="-2"/>
        </w:rPr>
        <w:t xml:space="preserve">» с прицельной биопсией слизистой оболочки из антрального и фундального отделов желудка. </w:t>
      </w:r>
    </w:p>
    <w:p w:rsidR="00296EA7" w:rsidRPr="00A02E56" w:rsidRDefault="00296EA7" w:rsidP="004D37B4">
      <w:pPr>
        <w:pStyle w:val="2"/>
        <w:spacing w:after="0" w:line="360" w:lineRule="auto"/>
        <w:ind w:firstLine="709"/>
        <w:jc w:val="both"/>
        <w:rPr>
          <w:color w:val="C00000"/>
        </w:rPr>
      </w:pPr>
      <w:r w:rsidRPr="00B57F20">
        <w:t>В соответствии с целями исследования пациенты были рандомизированы на две группы по 30 человек – получ</w:t>
      </w:r>
      <w:r w:rsidR="00A314D6">
        <w:t>авшие эрадикационную терапию 1-</w:t>
      </w:r>
      <w:r w:rsidRPr="00B57F20">
        <w:t>й схемы</w:t>
      </w:r>
      <w:r w:rsidR="00ED716A">
        <w:t xml:space="preserve"> (с включением Рабепразола-С</w:t>
      </w:r>
      <w:r w:rsidR="007912C3">
        <w:t>З)</w:t>
      </w:r>
      <w:r w:rsidR="00A314D6">
        <w:t xml:space="preserve"> и 2-</w:t>
      </w:r>
      <w:r w:rsidRPr="00B57F20">
        <w:t xml:space="preserve">й </w:t>
      </w:r>
      <w:r w:rsidR="00A314D6">
        <w:t xml:space="preserve">- </w:t>
      </w:r>
      <w:r w:rsidR="007912C3">
        <w:t>(с включением Париета</w:t>
      </w:r>
      <w:r w:rsidR="00F66273" w:rsidRPr="00B57F20">
        <w:t>-</w:t>
      </w:r>
      <w:r w:rsidR="00F66273" w:rsidRPr="00B57F20">
        <w:rPr>
          <w:lang w:val="en-US"/>
        </w:rPr>
        <w:t>N</w:t>
      </w:r>
      <w:r w:rsidR="007912C3">
        <w:t>)</w:t>
      </w:r>
      <w:r w:rsidRPr="00B57F20">
        <w:t xml:space="preserve"> (Табл.1). Продолжительность терапии </w:t>
      </w:r>
      <w:r w:rsidR="007912C3">
        <w:t xml:space="preserve">в обеих группах </w:t>
      </w:r>
      <w:r w:rsidRPr="00B57F20">
        <w:t>составила 14 дней</w:t>
      </w:r>
      <w:r w:rsidR="00A02E56">
        <w:t xml:space="preserve">. </w:t>
      </w:r>
    </w:p>
    <w:p w:rsidR="00A314D6" w:rsidRPr="00A314D6" w:rsidRDefault="00A314D6" w:rsidP="00FA4EC6">
      <w:pPr>
        <w:spacing w:after="0" w:line="36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314D6">
        <w:rPr>
          <w:rFonts w:ascii="Times New Roman" w:hAnsi="Times New Roman"/>
          <w:sz w:val="24"/>
          <w:szCs w:val="24"/>
        </w:rPr>
        <w:t xml:space="preserve">                                           Таблица 1</w:t>
      </w:r>
    </w:p>
    <w:p w:rsidR="00296EA7" w:rsidRPr="00B57F20" w:rsidRDefault="00296EA7" w:rsidP="004D37B4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57F20">
        <w:rPr>
          <w:rFonts w:ascii="Times New Roman" w:hAnsi="Times New Roman"/>
          <w:b/>
          <w:sz w:val="24"/>
          <w:szCs w:val="24"/>
        </w:rPr>
        <w:t>Распределение пациентов по группам в зависимости от  схемы  лекарственное терапии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90"/>
        <w:gridCol w:w="2879"/>
        <w:gridCol w:w="1701"/>
        <w:gridCol w:w="1418"/>
        <w:gridCol w:w="2091"/>
      </w:tblGrid>
      <w:tr w:rsidR="00296EA7" w:rsidRPr="00B57F20" w:rsidTr="00296EA7">
        <w:tc>
          <w:tcPr>
            <w:tcW w:w="1090" w:type="dxa"/>
            <w:shd w:val="clear" w:color="auto" w:fill="auto"/>
          </w:tcPr>
          <w:p w:rsidR="00296EA7" w:rsidRPr="00B57F20" w:rsidRDefault="00296EA7" w:rsidP="004D37B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группы</w:t>
            </w:r>
          </w:p>
        </w:tc>
        <w:tc>
          <w:tcPr>
            <w:tcW w:w="2879" w:type="dxa"/>
            <w:shd w:val="clear" w:color="auto" w:fill="auto"/>
          </w:tcPr>
          <w:p w:rsidR="00296EA7" w:rsidRPr="00B57F20" w:rsidRDefault="00296EA7" w:rsidP="004D37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Проводимая терапия</w:t>
            </w:r>
          </w:p>
        </w:tc>
        <w:tc>
          <w:tcPr>
            <w:tcW w:w="1701" w:type="dxa"/>
            <w:shd w:val="clear" w:color="auto" w:fill="auto"/>
          </w:tcPr>
          <w:p w:rsidR="00296EA7" w:rsidRPr="00B57F20" w:rsidRDefault="00296EA7" w:rsidP="004D37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57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пациентов </w:t>
            </w:r>
            <w:r w:rsidRPr="00B57F2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(n=</w:t>
            </w:r>
            <w:r w:rsidRPr="00B57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Pr="00B57F2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296EA7" w:rsidRPr="00B57F20" w:rsidRDefault="00296EA7" w:rsidP="004D37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возраст</w:t>
            </w:r>
          </w:p>
        </w:tc>
        <w:tc>
          <w:tcPr>
            <w:tcW w:w="2091" w:type="dxa"/>
            <w:shd w:val="clear" w:color="auto" w:fill="auto"/>
          </w:tcPr>
          <w:p w:rsidR="00296EA7" w:rsidRPr="00B57F20" w:rsidRDefault="00296EA7" w:rsidP="004D37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Соотношение женщины</w:t>
            </w:r>
            <w:r w:rsidRPr="00B57F2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</w:p>
          <w:p w:rsidR="00296EA7" w:rsidRPr="00B57F20" w:rsidRDefault="00296EA7" w:rsidP="004D37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мужчины</w:t>
            </w:r>
          </w:p>
        </w:tc>
      </w:tr>
      <w:tr w:rsidR="00296EA7" w:rsidRPr="00B57F20" w:rsidTr="00296EA7">
        <w:tc>
          <w:tcPr>
            <w:tcW w:w="1090" w:type="dxa"/>
            <w:shd w:val="clear" w:color="auto" w:fill="auto"/>
          </w:tcPr>
          <w:p w:rsidR="00296EA7" w:rsidRPr="00B57F20" w:rsidRDefault="00296EA7" w:rsidP="004D3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1-я группа</w:t>
            </w:r>
          </w:p>
        </w:tc>
        <w:tc>
          <w:tcPr>
            <w:tcW w:w="2879" w:type="dxa"/>
            <w:shd w:val="clear" w:color="auto" w:fill="auto"/>
          </w:tcPr>
          <w:p w:rsidR="00296EA7" w:rsidRPr="00B57F20" w:rsidRDefault="00ED716A" w:rsidP="004D37B4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Рабепразол-С</w:t>
            </w:r>
            <w:r w:rsidR="00296EA7" w:rsidRPr="00B57F20">
              <w:rPr>
                <w:rFonts w:ascii="Times New Roman" w:hAnsi="Times New Roman"/>
                <w:sz w:val="24"/>
                <w:szCs w:val="24"/>
              </w:rPr>
              <w:t>З 40 мг</w:t>
            </w:r>
            <w:r>
              <w:rPr>
                <w:rFonts w:ascii="Times New Roman" w:hAnsi="Times New Roman"/>
                <w:sz w:val="24"/>
                <w:szCs w:val="24"/>
              </w:rPr>
              <w:t>(20 мг х 2 таб)</w:t>
            </w:r>
            <w:r w:rsidR="00296EA7" w:rsidRPr="00B57F20">
              <w:rPr>
                <w:rFonts w:ascii="Times New Roman" w:hAnsi="Times New Roman"/>
                <w:sz w:val="24"/>
                <w:szCs w:val="24"/>
              </w:rPr>
              <w:t xml:space="preserve"> 2 раза в сутки +</w:t>
            </w:r>
          </w:p>
          <w:p w:rsidR="00296EA7" w:rsidRPr="00B57F20" w:rsidRDefault="00296EA7" w:rsidP="004D3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F20">
              <w:rPr>
                <w:rFonts w:ascii="Times New Roman" w:hAnsi="Times New Roman"/>
                <w:sz w:val="24"/>
                <w:szCs w:val="24"/>
              </w:rPr>
              <w:t>Амоксициллин 1000 мг 2 р. в сутки + Кларитромицин 500 м</w:t>
            </w:r>
            <w:r w:rsidR="00ED716A">
              <w:rPr>
                <w:rFonts w:ascii="Times New Roman" w:hAnsi="Times New Roman"/>
                <w:sz w:val="24"/>
                <w:szCs w:val="24"/>
              </w:rPr>
              <w:t>г 2 р. в сутки + Розувастатина-С</w:t>
            </w:r>
            <w:r w:rsidRPr="00B57F20">
              <w:rPr>
                <w:rFonts w:ascii="Times New Roman" w:hAnsi="Times New Roman"/>
                <w:sz w:val="24"/>
                <w:szCs w:val="24"/>
              </w:rPr>
              <w:t>З 20 мг в сутки</w:t>
            </w:r>
          </w:p>
        </w:tc>
        <w:tc>
          <w:tcPr>
            <w:tcW w:w="1701" w:type="dxa"/>
            <w:shd w:val="clear" w:color="auto" w:fill="auto"/>
          </w:tcPr>
          <w:p w:rsidR="00296EA7" w:rsidRPr="00B57F20" w:rsidRDefault="00296EA7" w:rsidP="004D3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296EA7" w:rsidRPr="00B57F20" w:rsidRDefault="00296EA7" w:rsidP="004D3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47,7 лет</w:t>
            </w:r>
          </w:p>
        </w:tc>
        <w:tc>
          <w:tcPr>
            <w:tcW w:w="2091" w:type="dxa"/>
            <w:shd w:val="clear" w:color="auto" w:fill="auto"/>
          </w:tcPr>
          <w:p w:rsidR="00296EA7" w:rsidRPr="00B57F20" w:rsidRDefault="00BD5268" w:rsidP="004D3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(53,3%)</w:t>
            </w:r>
          </w:p>
          <w:p w:rsidR="00BD5268" w:rsidRPr="00B57F20" w:rsidRDefault="00BD5268" w:rsidP="004D3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BD5268" w:rsidRPr="00B57F20" w:rsidRDefault="00BD5268" w:rsidP="004D3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(46,7%)</w:t>
            </w:r>
          </w:p>
        </w:tc>
      </w:tr>
      <w:tr w:rsidR="00296EA7" w:rsidRPr="00B57F20" w:rsidTr="00296EA7">
        <w:tc>
          <w:tcPr>
            <w:tcW w:w="1090" w:type="dxa"/>
            <w:shd w:val="clear" w:color="auto" w:fill="auto"/>
          </w:tcPr>
          <w:p w:rsidR="00296EA7" w:rsidRPr="00B57F20" w:rsidRDefault="00296EA7" w:rsidP="004D3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2-я группа</w:t>
            </w:r>
          </w:p>
        </w:tc>
        <w:tc>
          <w:tcPr>
            <w:tcW w:w="2879" w:type="dxa"/>
            <w:shd w:val="clear" w:color="auto" w:fill="auto"/>
          </w:tcPr>
          <w:p w:rsidR="00BD5268" w:rsidRPr="00B57F20" w:rsidRDefault="00BD5268" w:rsidP="004D37B4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7F20">
              <w:rPr>
                <w:rFonts w:ascii="Times New Roman" w:hAnsi="Times New Roman"/>
                <w:sz w:val="24"/>
                <w:szCs w:val="24"/>
              </w:rPr>
              <w:t>Париет-</w:t>
            </w:r>
            <w:r w:rsidRPr="00B57F20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B57F20">
              <w:rPr>
                <w:rFonts w:ascii="Times New Roman" w:hAnsi="Times New Roman"/>
                <w:sz w:val="24"/>
                <w:szCs w:val="24"/>
              </w:rPr>
              <w:t xml:space="preserve"> 40 мг</w:t>
            </w:r>
            <w:r w:rsidR="00ED716A">
              <w:rPr>
                <w:rFonts w:ascii="Times New Roman" w:hAnsi="Times New Roman"/>
                <w:sz w:val="24"/>
                <w:szCs w:val="24"/>
              </w:rPr>
              <w:t>(20 мгх х2 таб)</w:t>
            </w:r>
            <w:r w:rsidRPr="00B57F20">
              <w:rPr>
                <w:rFonts w:ascii="Times New Roman" w:hAnsi="Times New Roman"/>
                <w:sz w:val="24"/>
                <w:szCs w:val="24"/>
              </w:rPr>
              <w:t xml:space="preserve"> 2 раза в сутки +</w:t>
            </w:r>
          </w:p>
          <w:p w:rsidR="00296EA7" w:rsidRPr="00B57F20" w:rsidRDefault="00BD5268" w:rsidP="004D3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F20">
              <w:rPr>
                <w:rFonts w:ascii="Times New Roman" w:hAnsi="Times New Roman"/>
                <w:sz w:val="24"/>
                <w:szCs w:val="24"/>
              </w:rPr>
              <w:t xml:space="preserve">Амоксициллин 1000 мг 2 р. в сутки + </w:t>
            </w:r>
            <w:r w:rsidRPr="00B57F20">
              <w:rPr>
                <w:rFonts w:ascii="Times New Roman" w:hAnsi="Times New Roman"/>
                <w:sz w:val="24"/>
                <w:szCs w:val="24"/>
              </w:rPr>
              <w:lastRenderedPageBreak/>
              <w:t>Кларитромицин 500 м</w:t>
            </w:r>
            <w:r w:rsidR="00ED716A">
              <w:rPr>
                <w:rFonts w:ascii="Times New Roman" w:hAnsi="Times New Roman"/>
                <w:sz w:val="24"/>
                <w:szCs w:val="24"/>
              </w:rPr>
              <w:t>г 2 р. в сутки + Розувастатина-С</w:t>
            </w:r>
            <w:r w:rsidRPr="00B57F20">
              <w:rPr>
                <w:rFonts w:ascii="Times New Roman" w:hAnsi="Times New Roman"/>
                <w:sz w:val="24"/>
                <w:szCs w:val="24"/>
              </w:rPr>
              <w:t>З 20 мг в сутки</w:t>
            </w:r>
          </w:p>
        </w:tc>
        <w:tc>
          <w:tcPr>
            <w:tcW w:w="1701" w:type="dxa"/>
            <w:shd w:val="clear" w:color="auto" w:fill="auto"/>
          </w:tcPr>
          <w:p w:rsidR="00296EA7" w:rsidRPr="00B57F20" w:rsidRDefault="00296EA7" w:rsidP="004D3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418" w:type="dxa"/>
            <w:shd w:val="clear" w:color="auto" w:fill="auto"/>
          </w:tcPr>
          <w:p w:rsidR="00296EA7" w:rsidRPr="00B57F20" w:rsidRDefault="00296EA7" w:rsidP="004D3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46,1 лет</w:t>
            </w:r>
          </w:p>
        </w:tc>
        <w:tc>
          <w:tcPr>
            <w:tcW w:w="2091" w:type="dxa"/>
            <w:shd w:val="clear" w:color="auto" w:fill="auto"/>
          </w:tcPr>
          <w:p w:rsidR="00296EA7" w:rsidRPr="00B57F20" w:rsidRDefault="00BD5268" w:rsidP="004D3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(56,6%)</w:t>
            </w:r>
          </w:p>
          <w:p w:rsidR="00BD5268" w:rsidRPr="00B57F20" w:rsidRDefault="00BD5268" w:rsidP="004D3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BD5268" w:rsidRPr="00B57F20" w:rsidRDefault="00BD5268" w:rsidP="004D3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(43,4%)</w:t>
            </w:r>
          </w:p>
        </w:tc>
      </w:tr>
    </w:tbl>
    <w:p w:rsidR="0090282E" w:rsidRPr="00B57F20" w:rsidRDefault="007E2A19" w:rsidP="004D37B4">
      <w:pPr>
        <w:spacing w:after="0" w:line="36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 w:rsidRPr="007E2A19">
        <w:rPr>
          <w:rFonts w:ascii="Times New Roman" w:hAnsi="Times New Roman"/>
          <w:b/>
          <w:sz w:val="24"/>
          <w:szCs w:val="24"/>
        </w:rPr>
        <w:lastRenderedPageBreak/>
        <w:t>Результаты</w:t>
      </w:r>
      <w:r w:rsidR="0090282E" w:rsidRPr="00B57F20">
        <w:rPr>
          <w:rFonts w:ascii="Times New Roman" w:hAnsi="Times New Roman"/>
          <w:sz w:val="24"/>
          <w:szCs w:val="24"/>
        </w:rPr>
        <w:t>:</w:t>
      </w:r>
    </w:p>
    <w:p w:rsidR="00F7635F" w:rsidRDefault="00195185" w:rsidP="004D37B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13EB">
        <w:rPr>
          <w:rFonts w:ascii="Times New Roman" w:hAnsi="Times New Roman"/>
          <w:b/>
          <w:sz w:val="24"/>
          <w:szCs w:val="24"/>
        </w:rPr>
        <w:t>Клиническая характеристика обследованных пациентов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95185">
        <w:rPr>
          <w:rFonts w:ascii="Times New Roman" w:hAnsi="Times New Roman"/>
          <w:sz w:val="24"/>
          <w:szCs w:val="24"/>
        </w:rPr>
        <w:t xml:space="preserve">Все </w:t>
      </w:r>
      <w:r>
        <w:rPr>
          <w:rFonts w:ascii="Times New Roman" w:hAnsi="Times New Roman"/>
          <w:sz w:val="24"/>
          <w:szCs w:val="24"/>
        </w:rPr>
        <w:t xml:space="preserve">больные </w:t>
      </w:r>
      <w:r w:rsidRPr="00195185">
        <w:rPr>
          <w:rFonts w:ascii="Times New Roman" w:hAnsi="Times New Roman"/>
          <w:sz w:val="24"/>
          <w:szCs w:val="24"/>
        </w:rPr>
        <w:t xml:space="preserve">хроническим гастритом предъявляли жалобы на боль или дискомфорт в эпигастральной области. </w:t>
      </w:r>
      <w:r>
        <w:rPr>
          <w:rFonts w:ascii="Times New Roman" w:hAnsi="Times New Roman"/>
          <w:sz w:val="24"/>
          <w:szCs w:val="24"/>
        </w:rPr>
        <w:t>След</w:t>
      </w:r>
      <w:r w:rsidRPr="00195185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ет заметить, что у </w:t>
      </w:r>
      <w:r w:rsidRPr="00195185">
        <w:rPr>
          <w:rFonts w:ascii="Times New Roman" w:hAnsi="Times New Roman"/>
          <w:sz w:val="24"/>
          <w:szCs w:val="24"/>
        </w:rPr>
        <w:t>большинства бол</w:t>
      </w:r>
      <w:r>
        <w:rPr>
          <w:rFonts w:ascii="Times New Roman" w:hAnsi="Times New Roman"/>
          <w:sz w:val="24"/>
          <w:szCs w:val="24"/>
        </w:rPr>
        <w:t>евой синдром</w:t>
      </w:r>
      <w:r w:rsidRPr="001951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возникал, </w:t>
      </w:r>
      <w:r w:rsidRPr="00195185">
        <w:rPr>
          <w:rFonts w:ascii="Times New Roman" w:hAnsi="Times New Roman"/>
          <w:sz w:val="24"/>
          <w:szCs w:val="24"/>
        </w:rPr>
        <w:t>как после еды, так и натощак. 7</w:t>
      </w:r>
      <w:r>
        <w:rPr>
          <w:rFonts w:ascii="Times New Roman" w:hAnsi="Times New Roman"/>
          <w:sz w:val="24"/>
          <w:szCs w:val="24"/>
        </w:rPr>
        <w:t>5</w:t>
      </w:r>
      <w:r w:rsidRPr="00195185">
        <w:rPr>
          <w:rFonts w:ascii="Times New Roman" w:hAnsi="Times New Roman"/>
          <w:sz w:val="24"/>
          <w:szCs w:val="24"/>
        </w:rPr>
        <w:t xml:space="preserve">% констатировали купирование боли после приема антацидов. </w:t>
      </w:r>
      <w:r>
        <w:rPr>
          <w:rFonts w:ascii="Times New Roman" w:hAnsi="Times New Roman"/>
          <w:sz w:val="24"/>
          <w:szCs w:val="24"/>
        </w:rPr>
        <w:t>Жалобы на п</w:t>
      </w:r>
      <w:r w:rsidRPr="00195185">
        <w:rPr>
          <w:rFonts w:ascii="Times New Roman" w:hAnsi="Times New Roman"/>
          <w:sz w:val="24"/>
          <w:szCs w:val="24"/>
        </w:rPr>
        <w:t xml:space="preserve">остоянную изжогу </w:t>
      </w:r>
      <w:r w:rsidR="00171E68">
        <w:rPr>
          <w:rFonts w:ascii="Times New Roman" w:hAnsi="Times New Roman"/>
          <w:sz w:val="24"/>
          <w:szCs w:val="24"/>
        </w:rPr>
        <w:t>предъ</w:t>
      </w:r>
      <w:r>
        <w:rPr>
          <w:rFonts w:ascii="Times New Roman" w:hAnsi="Times New Roman"/>
          <w:sz w:val="24"/>
          <w:szCs w:val="24"/>
        </w:rPr>
        <w:t xml:space="preserve">являли </w:t>
      </w:r>
      <w:r w:rsidRPr="0019518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Pr="00195185">
        <w:rPr>
          <w:rFonts w:ascii="Times New Roman" w:hAnsi="Times New Roman"/>
          <w:sz w:val="24"/>
          <w:szCs w:val="24"/>
        </w:rPr>
        <w:t>%, тошноту – 3</w:t>
      </w:r>
      <w:r>
        <w:rPr>
          <w:rFonts w:ascii="Times New Roman" w:hAnsi="Times New Roman"/>
          <w:sz w:val="24"/>
          <w:szCs w:val="24"/>
        </w:rPr>
        <w:t>1</w:t>
      </w:r>
      <w:r w:rsidRPr="0019518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7</w:t>
      </w:r>
      <w:r w:rsidRPr="00195185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,</w:t>
      </w:r>
      <w:r w:rsidRPr="00195185">
        <w:rPr>
          <w:rFonts w:ascii="Times New Roman" w:hAnsi="Times New Roman"/>
          <w:sz w:val="24"/>
          <w:szCs w:val="24"/>
        </w:rPr>
        <w:t xml:space="preserve"> рвота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195185">
        <w:rPr>
          <w:rFonts w:ascii="Times New Roman" w:hAnsi="Times New Roman"/>
          <w:sz w:val="24"/>
          <w:szCs w:val="24"/>
        </w:rPr>
        <w:t>6,</w:t>
      </w:r>
      <w:r w:rsidR="000F431F">
        <w:rPr>
          <w:rFonts w:ascii="Times New Roman" w:hAnsi="Times New Roman"/>
          <w:sz w:val="24"/>
          <w:szCs w:val="24"/>
        </w:rPr>
        <w:t>7</w:t>
      </w:r>
      <w:r w:rsidRPr="00195185">
        <w:rPr>
          <w:rFonts w:ascii="Times New Roman" w:hAnsi="Times New Roman"/>
          <w:sz w:val="24"/>
          <w:szCs w:val="24"/>
        </w:rPr>
        <w:t xml:space="preserve">%. </w:t>
      </w:r>
      <w:r w:rsidR="000F431F">
        <w:rPr>
          <w:rFonts w:ascii="Times New Roman" w:hAnsi="Times New Roman"/>
          <w:sz w:val="24"/>
          <w:szCs w:val="24"/>
        </w:rPr>
        <w:t xml:space="preserve">В 38,3 </w:t>
      </w:r>
      <w:r w:rsidR="000F431F" w:rsidRPr="00195185">
        <w:rPr>
          <w:rFonts w:ascii="Times New Roman" w:hAnsi="Times New Roman"/>
          <w:sz w:val="24"/>
          <w:szCs w:val="24"/>
        </w:rPr>
        <w:t>%</w:t>
      </w:r>
      <w:r w:rsidR="000F431F">
        <w:rPr>
          <w:rFonts w:ascii="Times New Roman" w:hAnsi="Times New Roman"/>
          <w:sz w:val="24"/>
          <w:szCs w:val="24"/>
        </w:rPr>
        <w:t xml:space="preserve"> случаев </w:t>
      </w:r>
      <w:r>
        <w:rPr>
          <w:rFonts w:ascii="Times New Roman" w:hAnsi="Times New Roman"/>
          <w:sz w:val="24"/>
          <w:szCs w:val="24"/>
        </w:rPr>
        <w:t>заболевани</w:t>
      </w:r>
      <w:r w:rsidR="000F431F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сопровождалось </w:t>
      </w:r>
      <w:r w:rsidRPr="00195185">
        <w:rPr>
          <w:rFonts w:ascii="Times New Roman" w:hAnsi="Times New Roman"/>
          <w:sz w:val="24"/>
          <w:szCs w:val="24"/>
        </w:rPr>
        <w:t>отрыжк</w:t>
      </w:r>
      <w:r w:rsidR="000F431F">
        <w:rPr>
          <w:rFonts w:ascii="Times New Roman" w:hAnsi="Times New Roman"/>
          <w:sz w:val="24"/>
          <w:szCs w:val="24"/>
        </w:rPr>
        <w:t>ой</w:t>
      </w:r>
      <w:r w:rsidRPr="00195185">
        <w:rPr>
          <w:rFonts w:ascii="Times New Roman" w:hAnsi="Times New Roman"/>
          <w:sz w:val="24"/>
          <w:szCs w:val="24"/>
        </w:rPr>
        <w:t xml:space="preserve">. У </w:t>
      </w:r>
      <w:r w:rsidR="000F431F">
        <w:rPr>
          <w:rFonts w:ascii="Times New Roman" w:hAnsi="Times New Roman"/>
          <w:sz w:val="24"/>
          <w:szCs w:val="24"/>
        </w:rPr>
        <w:t>40</w:t>
      </w:r>
      <w:r w:rsidRPr="00195185">
        <w:rPr>
          <w:rFonts w:ascii="Times New Roman" w:hAnsi="Times New Roman"/>
          <w:sz w:val="24"/>
          <w:szCs w:val="24"/>
        </w:rPr>
        <w:t xml:space="preserve">% обследованных </w:t>
      </w:r>
      <w:r w:rsidR="000F431F">
        <w:rPr>
          <w:rFonts w:ascii="Times New Roman" w:hAnsi="Times New Roman"/>
          <w:sz w:val="24"/>
          <w:szCs w:val="24"/>
        </w:rPr>
        <w:t xml:space="preserve">выявлено нарушение стула(из них – у </w:t>
      </w:r>
      <w:r w:rsidRPr="00195185">
        <w:rPr>
          <w:rFonts w:ascii="Times New Roman" w:hAnsi="Times New Roman"/>
          <w:sz w:val="24"/>
          <w:szCs w:val="24"/>
        </w:rPr>
        <w:t>4</w:t>
      </w:r>
      <w:r w:rsidR="000F431F">
        <w:rPr>
          <w:rFonts w:ascii="Times New Roman" w:hAnsi="Times New Roman"/>
          <w:sz w:val="24"/>
          <w:szCs w:val="24"/>
        </w:rPr>
        <w:t>5,8</w:t>
      </w:r>
      <w:r w:rsidRPr="00195185">
        <w:rPr>
          <w:rFonts w:ascii="Times New Roman" w:hAnsi="Times New Roman"/>
          <w:sz w:val="24"/>
          <w:szCs w:val="24"/>
        </w:rPr>
        <w:t>% запоры</w:t>
      </w:r>
      <w:r w:rsidR="000F431F">
        <w:rPr>
          <w:rFonts w:ascii="Times New Roman" w:hAnsi="Times New Roman"/>
          <w:sz w:val="24"/>
          <w:szCs w:val="24"/>
        </w:rPr>
        <w:t xml:space="preserve">; у </w:t>
      </w:r>
      <w:r w:rsidRPr="00195185">
        <w:rPr>
          <w:rFonts w:ascii="Times New Roman" w:hAnsi="Times New Roman"/>
          <w:sz w:val="24"/>
          <w:szCs w:val="24"/>
        </w:rPr>
        <w:t>20</w:t>
      </w:r>
      <w:r w:rsidR="00FB4C50">
        <w:rPr>
          <w:rFonts w:ascii="Times New Roman" w:hAnsi="Times New Roman"/>
          <w:sz w:val="24"/>
          <w:szCs w:val="24"/>
        </w:rPr>
        <w:t>,8</w:t>
      </w:r>
      <w:r w:rsidRPr="00195185">
        <w:rPr>
          <w:rFonts w:ascii="Times New Roman" w:hAnsi="Times New Roman"/>
          <w:sz w:val="24"/>
          <w:szCs w:val="24"/>
        </w:rPr>
        <w:t xml:space="preserve">% </w:t>
      </w:r>
      <w:r w:rsidR="000F431F">
        <w:rPr>
          <w:rFonts w:ascii="Times New Roman" w:hAnsi="Times New Roman"/>
          <w:sz w:val="24"/>
          <w:szCs w:val="24"/>
        </w:rPr>
        <w:t xml:space="preserve">- </w:t>
      </w:r>
      <w:r w:rsidRPr="00195185">
        <w:rPr>
          <w:rFonts w:ascii="Times New Roman" w:hAnsi="Times New Roman"/>
          <w:sz w:val="24"/>
          <w:szCs w:val="24"/>
        </w:rPr>
        <w:t xml:space="preserve">неустойчивый стул. Часть пациентов употребляет </w:t>
      </w:r>
      <w:r w:rsidR="00FB4C50">
        <w:rPr>
          <w:rFonts w:ascii="Times New Roman" w:hAnsi="Times New Roman"/>
          <w:sz w:val="24"/>
          <w:szCs w:val="24"/>
        </w:rPr>
        <w:t>(20</w:t>
      </w:r>
      <w:r w:rsidRPr="00195185">
        <w:rPr>
          <w:rFonts w:ascii="Times New Roman" w:hAnsi="Times New Roman"/>
          <w:sz w:val="24"/>
          <w:szCs w:val="24"/>
        </w:rPr>
        <w:t xml:space="preserve">%) </w:t>
      </w:r>
      <w:r w:rsidR="00FB4C50">
        <w:rPr>
          <w:rFonts w:ascii="Times New Roman" w:hAnsi="Times New Roman"/>
          <w:sz w:val="24"/>
          <w:szCs w:val="24"/>
        </w:rPr>
        <w:t>алкогольные</w:t>
      </w:r>
      <w:r w:rsidRPr="00195185">
        <w:rPr>
          <w:rFonts w:ascii="Times New Roman" w:hAnsi="Times New Roman"/>
          <w:sz w:val="24"/>
          <w:szCs w:val="24"/>
        </w:rPr>
        <w:t xml:space="preserve"> на</w:t>
      </w:r>
      <w:r w:rsidR="00FB4C50">
        <w:rPr>
          <w:rFonts w:ascii="Times New Roman" w:hAnsi="Times New Roman"/>
          <w:sz w:val="24"/>
          <w:szCs w:val="24"/>
        </w:rPr>
        <w:t>питки</w:t>
      </w:r>
      <w:r w:rsidRPr="00195185">
        <w:rPr>
          <w:rFonts w:ascii="Times New Roman" w:hAnsi="Times New Roman"/>
          <w:sz w:val="24"/>
          <w:szCs w:val="24"/>
        </w:rPr>
        <w:t>, курят</w:t>
      </w:r>
      <w:r w:rsidR="00FB4C50">
        <w:rPr>
          <w:rFonts w:ascii="Times New Roman" w:hAnsi="Times New Roman"/>
          <w:sz w:val="24"/>
          <w:szCs w:val="24"/>
        </w:rPr>
        <w:t xml:space="preserve"> - </w:t>
      </w:r>
      <w:r w:rsidRPr="00195185">
        <w:rPr>
          <w:rFonts w:ascii="Times New Roman" w:hAnsi="Times New Roman"/>
          <w:sz w:val="24"/>
          <w:szCs w:val="24"/>
        </w:rPr>
        <w:t xml:space="preserve"> </w:t>
      </w:r>
      <w:r w:rsidR="00FB4C50">
        <w:rPr>
          <w:rFonts w:ascii="Times New Roman" w:hAnsi="Times New Roman"/>
          <w:sz w:val="24"/>
          <w:szCs w:val="24"/>
        </w:rPr>
        <w:t>до 10 сигарет в сутки (1</w:t>
      </w:r>
      <w:r w:rsidRPr="00195185">
        <w:rPr>
          <w:rFonts w:ascii="Times New Roman" w:hAnsi="Times New Roman"/>
          <w:sz w:val="24"/>
          <w:szCs w:val="24"/>
        </w:rPr>
        <w:t>6,7%) и до 20 сигарет (1</w:t>
      </w:r>
      <w:r w:rsidR="00FB4C50">
        <w:rPr>
          <w:rFonts w:ascii="Times New Roman" w:hAnsi="Times New Roman"/>
          <w:sz w:val="24"/>
          <w:szCs w:val="24"/>
        </w:rPr>
        <w:t>0</w:t>
      </w:r>
      <w:r w:rsidRPr="00195185">
        <w:rPr>
          <w:rFonts w:ascii="Times New Roman" w:hAnsi="Times New Roman"/>
          <w:sz w:val="24"/>
          <w:szCs w:val="24"/>
        </w:rPr>
        <w:t>%),</w:t>
      </w:r>
      <w:r w:rsidR="00FB4C50">
        <w:rPr>
          <w:rFonts w:ascii="Times New Roman" w:hAnsi="Times New Roman"/>
          <w:sz w:val="24"/>
          <w:szCs w:val="24"/>
        </w:rPr>
        <w:t xml:space="preserve"> 21.6</w:t>
      </w:r>
      <w:r w:rsidRPr="00195185">
        <w:rPr>
          <w:rFonts w:ascii="Times New Roman" w:hAnsi="Times New Roman"/>
          <w:sz w:val="24"/>
          <w:szCs w:val="24"/>
        </w:rPr>
        <w:t>% - злоупотребляют нестероидными противовоспалительными препаратами, что может служить дополнительным фактором повреждения</w:t>
      </w:r>
      <w:r w:rsidR="00FB4C50">
        <w:rPr>
          <w:rFonts w:ascii="Times New Roman" w:hAnsi="Times New Roman"/>
          <w:sz w:val="24"/>
          <w:szCs w:val="24"/>
        </w:rPr>
        <w:t xml:space="preserve"> слизистой оболочки желудка</w:t>
      </w:r>
      <w:r w:rsidRPr="00195185">
        <w:rPr>
          <w:rFonts w:ascii="Times New Roman" w:hAnsi="Times New Roman"/>
          <w:sz w:val="24"/>
          <w:szCs w:val="24"/>
        </w:rPr>
        <w:t xml:space="preserve">. У </w:t>
      </w:r>
      <w:r w:rsidR="00FB4C50">
        <w:rPr>
          <w:rFonts w:ascii="Times New Roman" w:hAnsi="Times New Roman"/>
          <w:sz w:val="24"/>
          <w:szCs w:val="24"/>
        </w:rPr>
        <w:t xml:space="preserve">части </w:t>
      </w:r>
      <w:r w:rsidRPr="00195185">
        <w:rPr>
          <w:rFonts w:ascii="Times New Roman" w:hAnsi="Times New Roman"/>
          <w:sz w:val="24"/>
          <w:szCs w:val="24"/>
        </w:rPr>
        <w:t xml:space="preserve">больных отягощена наследственность по заболеваниям желудка: по язвенной болезни </w:t>
      </w:r>
      <w:r w:rsidR="00FB4C50">
        <w:rPr>
          <w:rFonts w:ascii="Times New Roman" w:hAnsi="Times New Roman"/>
          <w:sz w:val="24"/>
          <w:szCs w:val="24"/>
        </w:rPr>
        <w:t xml:space="preserve">- </w:t>
      </w:r>
      <w:r w:rsidRPr="00195185">
        <w:rPr>
          <w:rFonts w:ascii="Times New Roman" w:hAnsi="Times New Roman"/>
          <w:sz w:val="24"/>
          <w:szCs w:val="24"/>
        </w:rPr>
        <w:t>у 20%</w:t>
      </w:r>
      <w:r w:rsidR="00FB4C50">
        <w:rPr>
          <w:rFonts w:ascii="Times New Roman" w:hAnsi="Times New Roman"/>
          <w:sz w:val="24"/>
          <w:szCs w:val="24"/>
        </w:rPr>
        <w:t xml:space="preserve"> и по РЖ у 8,3</w:t>
      </w:r>
      <w:r w:rsidRPr="00195185">
        <w:rPr>
          <w:rFonts w:ascii="Times New Roman" w:hAnsi="Times New Roman"/>
          <w:sz w:val="24"/>
          <w:szCs w:val="24"/>
        </w:rPr>
        <w:t xml:space="preserve">%. Похудание до </w:t>
      </w:r>
      <w:smartTag w:uri="urn:schemas-microsoft-com:office:smarttags" w:element="metricconverter">
        <w:smartTagPr>
          <w:attr w:name="ProductID" w:val="5 кг"/>
        </w:smartTagPr>
        <w:r w:rsidRPr="00195185">
          <w:rPr>
            <w:rFonts w:ascii="Times New Roman" w:hAnsi="Times New Roman"/>
            <w:sz w:val="24"/>
            <w:szCs w:val="24"/>
          </w:rPr>
          <w:t>5 кг</w:t>
        </w:r>
      </w:smartTag>
      <w:r w:rsidRPr="00195185">
        <w:rPr>
          <w:rFonts w:ascii="Times New Roman" w:hAnsi="Times New Roman"/>
          <w:sz w:val="24"/>
          <w:szCs w:val="24"/>
        </w:rPr>
        <w:t xml:space="preserve"> в течение последних месяцев отметил</w:t>
      </w:r>
      <w:r w:rsidR="00FB4C50">
        <w:rPr>
          <w:rFonts w:ascii="Times New Roman" w:hAnsi="Times New Roman"/>
          <w:sz w:val="24"/>
          <w:szCs w:val="24"/>
        </w:rPr>
        <w:t>и</w:t>
      </w:r>
      <w:r w:rsidRPr="00195185">
        <w:rPr>
          <w:rFonts w:ascii="Times New Roman" w:hAnsi="Times New Roman"/>
          <w:sz w:val="24"/>
          <w:szCs w:val="24"/>
        </w:rPr>
        <w:t xml:space="preserve"> 1</w:t>
      </w:r>
      <w:r w:rsidR="00F7635F">
        <w:rPr>
          <w:rFonts w:ascii="Times New Roman" w:hAnsi="Times New Roman"/>
          <w:sz w:val="24"/>
          <w:szCs w:val="24"/>
        </w:rPr>
        <w:t>5</w:t>
      </w:r>
      <w:r w:rsidRPr="00195185">
        <w:rPr>
          <w:rFonts w:ascii="Times New Roman" w:hAnsi="Times New Roman"/>
          <w:sz w:val="24"/>
          <w:szCs w:val="24"/>
        </w:rPr>
        <w:t xml:space="preserve">% больных. </w:t>
      </w:r>
    </w:p>
    <w:p w:rsidR="00195185" w:rsidRDefault="00921CB5" w:rsidP="004D37B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Спустя 1 месяц</w:t>
      </w:r>
      <w:r w:rsidR="00195185" w:rsidRPr="00195185">
        <w:rPr>
          <w:rFonts w:ascii="Times New Roman" w:hAnsi="Times New Roman"/>
          <w:sz w:val="24"/>
          <w:szCs w:val="24"/>
        </w:rPr>
        <w:t xml:space="preserve"> после проведения эрадикационной терапии у части пациентов </w:t>
      </w:r>
      <w:r w:rsidR="00E3061C">
        <w:rPr>
          <w:rFonts w:ascii="Times New Roman" w:hAnsi="Times New Roman"/>
          <w:sz w:val="24"/>
          <w:szCs w:val="24"/>
        </w:rPr>
        <w:t>(15</w:t>
      </w:r>
      <w:r w:rsidR="00195185" w:rsidRPr="00195185">
        <w:rPr>
          <w:rFonts w:ascii="Times New Roman" w:hAnsi="Times New Roman"/>
          <w:sz w:val="24"/>
          <w:szCs w:val="24"/>
        </w:rPr>
        <w:t>%</w:t>
      </w:r>
      <w:r w:rsidR="00E3061C">
        <w:rPr>
          <w:rFonts w:ascii="Times New Roman" w:hAnsi="Times New Roman"/>
          <w:sz w:val="24"/>
          <w:szCs w:val="24"/>
        </w:rPr>
        <w:t>, 5чел в 1 группе</w:t>
      </w:r>
      <w:r w:rsidR="00ED716A">
        <w:rPr>
          <w:rFonts w:ascii="Times New Roman" w:hAnsi="Times New Roman"/>
          <w:sz w:val="24"/>
          <w:szCs w:val="24"/>
        </w:rPr>
        <w:t xml:space="preserve"> – Рабепразол-С</w:t>
      </w:r>
      <w:r w:rsidR="007912C3">
        <w:rPr>
          <w:rFonts w:ascii="Times New Roman" w:hAnsi="Times New Roman"/>
          <w:sz w:val="24"/>
          <w:szCs w:val="24"/>
        </w:rPr>
        <w:t>З</w:t>
      </w:r>
      <w:r w:rsidR="00E3061C">
        <w:rPr>
          <w:rFonts w:ascii="Times New Roman" w:hAnsi="Times New Roman"/>
          <w:sz w:val="24"/>
          <w:szCs w:val="24"/>
        </w:rPr>
        <w:t xml:space="preserve"> и 4 чел во 2 группе</w:t>
      </w:r>
      <w:r w:rsidR="007912C3">
        <w:rPr>
          <w:rFonts w:ascii="Times New Roman" w:hAnsi="Times New Roman"/>
          <w:sz w:val="24"/>
          <w:szCs w:val="24"/>
        </w:rPr>
        <w:t xml:space="preserve"> - Париет</w:t>
      </w:r>
      <w:r w:rsidR="00F66273" w:rsidRPr="00B57F20">
        <w:rPr>
          <w:rFonts w:ascii="Times New Roman" w:hAnsi="Times New Roman"/>
          <w:sz w:val="24"/>
          <w:szCs w:val="24"/>
        </w:rPr>
        <w:t>-</w:t>
      </w:r>
      <w:r w:rsidR="00F66273" w:rsidRPr="00B57F20">
        <w:rPr>
          <w:rFonts w:ascii="Times New Roman" w:hAnsi="Times New Roman"/>
          <w:sz w:val="24"/>
          <w:szCs w:val="24"/>
          <w:lang w:val="en-US"/>
        </w:rPr>
        <w:t>N</w:t>
      </w:r>
      <w:r w:rsidR="00E3061C">
        <w:rPr>
          <w:rFonts w:ascii="Times New Roman" w:hAnsi="Times New Roman"/>
          <w:sz w:val="24"/>
          <w:szCs w:val="24"/>
        </w:rPr>
        <w:t>, р&gt;0,05</w:t>
      </w:r>
      <w:r w:rsidR="00195185" w:rsidRPr="00195185">
        <w:rPr>
          <w:rFonts w:ascii="Times New Roman" w:hAnsi="Times New Roman"/>
          <w:sz w:val="24"/>
          <w:szCs w:val="24"/>
        </w:rPr>
        <w:t xml:space="preserve">) не удалось добиться полного разрешения клинической симптоматики заболевания, что, вероятно, связано с сохранением нарушения моторики верхних отделов пищеварительного тракта. </w:t>
      </w:r>
      <w:r w:rsidR="00E3061C">
        <w:rPr>
          <w:rFonts w:ascii="Times New Roman" w:hAnsi="Times New Roman"/>
          <w:sz w:val="24"/>
          <w:szCs w:val="24"/>
        </w:rPr>
        <w:t xml:space="preserve">У </w:t>
      </w:r>
      <w:r w:rsidR="00195185" w:rsidRPr="00195185">
        <w:rPr>
          <w:rFonts w:ascii="Times New Roman" w:hAnsi="Times New Roman"/>
          <w:sz w:val="24"/>
          <w:szCs w:val="24"/>
        </w:rPr>
        <w:t>пациентов сохраняется дискомфорт в эпигастральной области после приема пищи (</w:t>
      </w:r>
      <w:r w:rsidR="00E3061C">
        <w:rPr>
          <w:rFonts w:ascii="Times New Roman" w:hAnsi="Times New Roman"/>
          <w:sz w:val="24"/>
          <w:szCs w:val="24"/>
        </w:rPr>
        <w:t>15</w:t>
      </w:r>
      <w:r w:rsidR="00195185" w:rsidRPr="00195185">
        <w:rPr>
          <w:rFonts w:ascii="Times New Roman" w:hAnsi="Times New Roman"/>
          <w:sz w:val="24"/>
          <w:szCs w:val="24"/>
        </w:rPr>
        <w:t>%</w:t>
      </w:r>
      <w:r w:rsidR="00E3061C">
        <w:rPr>
          <w:rFonts w:ascii="Times New Roman" w:hAnsi="Times New Roman"/>
          <w:sz w:val="24"/>
          <w:szCs w:val="24"/>
        </w:rPr>
        <w:t>, 5 чел в 1 группе и 4 чел во 2 группе, р&gt;0,05</w:t>
      </w:r>
      <w:r w:rsidR="00195185" w:rsidRPr="00195185">
        <w:rPr>
          <w:rFonts w:ascii="Times New Roman" w:hAnsi="Times New Roman"/>
          <w:sz w:val="24"/>
          <w:szCs w:val="24"/>
        </w:rPr>
        <w:t>)</w:t>
      </w:r>
      <w:r w:rsidR="00E3061C">
        <w:rPr>
          <w:rFonts w:ascii="Times New Roman" w:hAnsi="Times New Roman"/>
          <w:sz w:val="24"/>
          <w:szCs w:val="24"/>
        </w:rPr>
        <w:t xml:space="preserve"> и реже натощак (8.3</w:t>
      </w:r>
      <w:r w:rsidR="00195185" w:rsidRPr="00195185">
        <w:rPr>
          <w:rFonts w:ascii="Times New Roman" w:hAnsi="Times New Roman"/>
          <w:sz w:val="24"/>
          <w:szCs w:val="24"/>
        </w:rPr>
        <w:t>%</w:t>
      </w:r>
      <w:r w:rsidR="00E3061C">
        <w:rPr>
          <w:rFonts w:ascii="Times New Roman" w:hAnsi="Times New Roman"/>
          <w:sz w:val="24"/>
          <w:szCs w:val="24"/>
        </w:rPr>
        <w:t>, 2чел в 1 группе и 3 чел во 2 группе, р&gt;0,05</w:t>
      </w:r>
      <w:r w:rsidR="00195185" w:rsidRPr="00195185">
        <w:rPr>
          <w:rFonts w:ascii="Times New Roman" w:hAnsi="Times New Roman"/>
          <w:sz w:val="24"/>
          <w:szCs w:val="24"/>
        </w:rPr>
        <w:t>), в большинстве случае исчезающий после приема антацидных препаратов. У части больных сохраняются диспепсические расстройства в виде отрыжки (</w:t>
      </w:r>
      <w:r w:rsidR="00E3061C">
        <w:rPr>
          <w:rFonts w:ascii="Times New Roman" w:hAnsi="Times New Roman"/>
          <w:sz w:val="24"/>
          <w:szCs w:val="24"/>
        </w:rPr>
        <w:t>1</w:t>
      </w:r>
      <w:r w:rsidR="00195185" w:rsidRPr="00195185">
        <w:rPr>
          <w:rFonts w:ascii="Times New Roman" w:hAnsi="Times New Roman"/>
          <w:sz w:val="24"/>
          <w:szCs w:val="24"/>
        </w:rPr>
        <w:t>0%</w:t>
      </w:r>
      <w:r w:rsidR="00E3061C">
        <w:rPr>
          <w:rFonts w:ascii="Times New Roman" w:hAnsi="Times New Roman"/>
          <w:sz w:val="24"/>
          <w:szCs w:val="24"/>
        </w:rPr>
        <w:t>, 3 чел</w:t>
      </w:r>
      <w:r w:rsidR="00916F76">
        <w:rPr>
          <w:rFonts w:ascii="Times New Roman" w:hAnsi="Times New Roman"/>
          <w:sz w:val="24"/>
          <w:szCs w:val="24"/>
        </w:rPr>
        <w:t xml:space="preserve"> в 1 группе и 3 чел во 2 группе</w:t>
      </w:r>
      <w:r w:rsidR="00195185" w:rsidRPr="00195185">
        <w:rPr>
          <w:rFonts w:ascii="Times New Roman" w:hAnsi="Times New Roman"/>
          <w:sz w:val="24"/>
          <w:szCs w:val="24"/>
        </w:rPr>
        <w:t>), изжоги (1</w:t>
      </w:r>
      <w:r w:rsidR="00E3061C">
        <w:rPr>
          <w:rFonts w:ascii="Times New Roman" w:hAnsi="Times New Roman"/>
          <w:sz w:val="24"/>
          <w:szCs w:val="24"/>
        </w:rPr>
        <w:t>1.7</w:t>
      </w:r>
      <w:r w:rsidR="00195185" w:rsidRPr="00195185">
        <w:rPr>
          <w:rFonts w:ascii="Times New Roman" w:hAnsi="Times New Roman"/>
          <w:sz w:val="24"/>
          <w:szCs w:val="24"/>
        </w:rPr>
        <w:t>%</w:t>
      </w:r>
      <w:r w:rsidR="004360FC">
        <w:rPr>
          <w:rFonts w:ascii="Times New Roman" w:hAnsi="Times New Roman"/>
          <w:sz w:val="24"/>
          <w:szCs w:val="24"/>
        </w:rPr>
        <w:t>, 4 чел в 1 группе и 3 чел во 2 группе, р&gt;0,05</w:t>
      </w:r>
      <w:r w:rsidR="00195185" w:rsidRPr="00195185">
        <w:rPr>
          <w:rFonts w:ascii="Times New Roman" w:hAnsi="Times New Roman"/>
          <w:sz w:val="24"/>
          <w:szCs w:val="24"/>
        </w:rPr>
        <w:t>) и тошноты (13,3%</w:t>
      </w:r>
      <w:r w:rsidR="004360FC">
        <w:rPr>
          <w:rFonts w:ascii="Times New Roman" w:hAnsi="Times New Roman"/>
          <w:sz w:val="24"/>
          <w:szCs w:val="24"/>
        </w:rPr>
        <w:t>, 5чел в 1 группе и 3 чел во 2 группе, р&gt;0,05</w:t>
      </w:r>
      <w:r w:rsidR="00195185" w:rsidRPr="00195185">
        <w:rPr>
          <w:rFonts w:ascii="Times New Roman" w:hAnsi="Times New Roman"/>
          <w:sz w:val="24"/>
          <w:szCs w:val="24"/>
        </w:rPr>
        <w:t>)</w:t>
      </w:r>
      <w:r w:rsidR="004360FC">
        <w:rPr>
          <w:rFonts w:ascii="Times New Roman" w:hAnsi="Times New Roman"/>
          <w:sz w:val="24"/>
          <w:szCs w:val="24"/>
        </w:rPr>
        <w:t>. У 15</w:t>
      </w:r>
      <w:r w:rsidR="00195185" w:rsidRPr="00195185">
        <w:rPr>
          <w:rFonts w:ascii="Times New Roman" w:hAnsi="Times New Roman"/>
          <w:sz w:val="24"/>
          <w:szCs w:val="24"/>
        </w:rPr>
        <w:t xml:space="preserve">% </w:t>
      </w:r>
      <w:r w:rsidR="004360FC">
        <w:rPr>
          <w:rFonts w:ascii="Times New Roman" w:hAnsi="Times New Roman"/>
          <w:sz w:val="24"/>
          <w:szCs w:val="24"/>
        </w:rPr>
        <w:t xml:space="preserve">(5чел в 1 группе и 4 чел во 2 группе, р&gt;0,05) </w:t>
      </w:r>
      <w:r w:rsidR="00195185" w:rsidRPr="00195185">
        <w:rPr>
          <w:rFonts w:ascii="Times New Roman" w:hAnsi="Times New Roman"/>
          <w:sz w:val="24"/>
          <w:szCs w:val="24"/>
        </w:rPr>
        <w:t>больны</w:t>
      </w:r>
      <w:r w:rsidR="002A54BA">
        <w:rPr>
          <w:rFonts w:ascii="Times New Roman" w:hAnsi="Times New Roman"/>
          <w:sz w:val="24"/>
          <w:szCs w:val="24"/>
        </w:rPr>
        <w:t>х определялось нарушение стула (Рис.1)</w:t>
      </w:r>
    </w:p>
    <w:p w:rsidR="00ED716A" w:rsidRDefault="00ED716A" w:rsidP="004D37B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716A">
        <w:rPr>
          <w:rFonts w:ascii="Times New Roman" w:hAnsi="Times New Roman"/>
          <w:noProof/>
          <w:sz w:val="24"/>
          <w:lang w:eastAsia="ru-RU"/>
        </w:rPr>
        <w:lastRenderedPageBreak/>
        <w:drawing>
          <wp:inline distT="0" distB="0" distL="0" distR="0">
            <wp:extent cx="5621462" cy="3616503"/>
            <wp:effectExtent l="19050" t="0" r="17338" b="2997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7635F" w:rsidRPr="002C3A56" w:rsidRDefault="00F7635F" w:rsidP="004D37B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0FC">
        <w:rPr>
          <w:rFonts w:ascii="Times New Roman" w:hAnsi="Times New Roman"/>
          <w:b/>
          <w:sz w:val="24"/>
          <w:szCs w:val="24"/>
        </w:rPr>
        <w:t>Эндоскопическая характеристика</w:t>
      </w:r>
      <w:r w:rsidRPr="004360FC">
        <w:rPr>
          <w:rFonts w:ascii="Times New Roman" w:hAnsi="Times New Roman"/>
          <w:sz w:val="24"/>
          <w:szCs w:val="24"/>
        </w:rPr>
        <w:t>. При фиброгастродуоденоскопии у всех больных с</w:t>
      </w:r>
      <w:r w:rsidR="004360FC">
        <w:rPr>
          <w:rFonts w:ascii="Times New Roman" w:hAnsi="Times New Roman"/>
          <w:sz w:val="24"/>
          <w:szCs w:val="24"/>
        </w:rPr>
        <w:t xml:space="preserve"> хроническим гастритом </w:t>
      </w:r>
      <w:r w:rsidRPr="004360FC">
        <w:rPr>
          <w:rFonts w:ascii="Times New Roman" w:hAnsi="Times New Roman"/>
          <w:sz w:val="24"/>
          <w:szCs w:val="24"/>
        </w:rPr>
        <w:t>определялся отек и гиперемия</w:t>
      </w:r>
      <w:r w:rsidR="004360FC">
        <w:rPr>
          <w:rFonts w:ascii="Times New Roman" w:hAnsi="Times New Roman"/>
          <w:sz w:val="24"/>
          <w:szCs w:val="24"/>
        </w:rPr>
        <w:t xml:space="preserve"> антрального отдела желудка, у 4</w:t>
      </w:r>
      <w:r w:rsidRPr="004360FC">
        <w:rPr>
          <w:rFonts w:ascii="Times New Roman" w:hAnsi="Times New Roman"/>
          <w:sz w:val="24"/>
          <w:szCs w:val="24"/>
        </w:rPr>
        <w:t xml:space="preserve">0% отек и гиперемия распространялись на тело желудка и его фундальный отдел. У </w:t>
      </w:r>
      <w:r w:rsidR="004360FC">
        <w:rPr>
          <w:rFonts w:ascii="Times New Roman" w:hAnsi="Times New Roman"/>
          <w:sz w:val="24"/>
          <w:szCs w:val="24"/>
        </w:rPr>
        <w:t>70% пациентов выявлена</w:t>
      </w:r>
      <w:r w:rsidRPr="004360FC">
        <w:rPr>
          <w:rFonts w:ascii="Times New Roman" w:hAnsi="Times New Roman"/>
          <w:sz w:val="24"/>
          <w:szCs w:val="24"/>
        </w:rPr>
        <w:t xml:space="preserve"> мультифокальная атрофия слизистой антрального отдела желудка, а у 50% - антрального отдела и тела желудка. У 16,7% больных определялись эрозии в антральном отделе желудка, у </w:t>
      </w:r>
      <w:r w:rsidR="009B5ED3">
        <w:rPr>
          <w:rFonts w:ascii="Times New Roman" w:hAnsi="Times New Roman"/>
          <w:sz w:val="24"/>
          <w:szCs w:val="24"/>
        </w:rPr>
        <w:t>5</w:t>
      </w:r>
      <w:r w:rsidRPr="004360FC">
        <w:rPr>
          <w:rFonts w:ascii="Times New Roman" w:hAnsi="Times New Roman"/>
          <w:sz w:val="24"/>
          <w:szCs w:val="24"/>
        </w:rPr>
        <w:t>% в а</w:t>
      </w:r>
      <w:r w:rsidR="002A54BA">
        <w:rPr>
          <w:rFonts w:ascii="Times New Roman" w:hAnsi="Times New Roman"/>
          <w:sz w:val="24"/>
          <w:szCs w:val="24"/>
        </w:rPr>
        <w:t>н</w:t>
      </w:r>
      <w:r w:rsidRPr="004360FC">
        <w:rPr>
          <w:rFonts w:ascii="Times New Roman" w:hAnsi="Times New Roman"/>
          <w:sz w:val="24"/>
          <w:szCs w:val="24"/>
        </w:rPr>
        <w:t>тр</w:t>
      </w:r>
      <w:r w:rsidR="0082341E">
        <w:rPr>
          <w:rFonts w:ascii="Times New Roman" w:hAnsi="Times New Roman"/>
          <w:sz w:val="24"/>
          <w:szCs w:val="24"/>
        </w:rPr>
        <w:t>уме</w:t>
      </w:r>
      <w:r w:rsidRPr="004360FC">
        <w:rPr>
          <w:rFonts w:ascii="Times New Roman" w:hAnsi="Times New Roman"/>
          <w:sz w:val="24"/>
          <w:szCs w:val="24"/>
        </w:rPr>
        <w:t xml:space="preserve"> и теле желудка, и у 2</w:t>
      </w:r>
      <w:r w:rsidR="009B5ED3">
        <w:rPr>
          <w:rFonts w:ascii="Times New Roman" w:hAnsi="Times New Roman"/>
          <w:sz w:val="24"/>
          <w:szCs w:val="24"/>
        </w:rPr>
        <w:t>5</w:t>
      </w:r>
      <w:r w:rsidRPr="004360FC">
        <w:rPr>
          <w:rFonts w:ascii="Times New Roman" w:hAnsi="Times New Roman"/>
          <w:sz w:val="24"/>
          <w:szCs w:val="24"/>
        </w:rPr>
        <w:t>% в</w:t>
      </w:r>
      <w:r w:rsidR="002A54BA">
        <w:rPr>
          <w:rFonts w:ascii="Times New Roman" w:hAnsi="Times New Roman"/>
          <w:sz w:val="24"/>
          <w:szCs w:val="24"/>
        </w:rPr>
        <w:t xml:space="preserve"> луковице двенадцатиперстной кишки</w:t>
      </w:r>
      <w:r w:rsidRPr="004360FC">
        <w:rPr>
          <w:rFonts w:ascii="Times New Roman" w:hAnsi="Times New Roman"/>
          <w:sz w:val="24"/>
          <w:szCs w:val="24"/>
        </w:rPr>
        <w:t>. При этом у 1</w:t>
      </w:r>
      <w:r w:rsidR="009B5ED3">
        <w:rPr>
          <w:rFonts w:ascii="Times New Roman" w:hAnsi="Times New Roman"/>
          <w:sz w:val="24"/>
          <w:szCs w:val="24"/>
        </w:rPr>
        <w:t>1,7</w:t>
      </w:r>
      <w:r w:rsidRPr="004360FC">
        <w:rPr>
          <w:rFonts w:ascii="Times New Roman" w:hAnsi="Times New Roman"/>
          <w:sz w:val="24"/>
          <w:szCs w:val="24"/>
        </w:rPr>
        <w:t xml:space="preserve">% больных эрозии были полными, а у 6,7% - неполные. Также у 6,7% больных с ХАГ наряду с полными эрозиями определялись и неполные. У 33,3% больных </w:t>
      </w:r>
      <w:r w:rsidR="009B5ED3">
        <w:rPr>
          <w:rFonts w:ascii="Times New Roman" w:hAnsi="Times New Roman"/>
          <w:sz w:val="24"/>
          <w:szCs w:val="24"/>
        </w:rPr>
        <w:t xml:space="preserve">выявлены </w:t>
      </w:r>
      <w:r w:rsidRPr="004360FC">
        <w:rPr>
          <w:rFonts w:ascii="Times New Roman" w:hAnsi="Times New Roman"/>
          <w:sz w:val="24"/>
          <w:szCs w:val="24"/>
        </w:rPr>
        <w:t>призна</w:t>
      </w:r>
      <w:r w:rsidR="009B5ED3">
        <w:rPr>
          <w:rFonts w:ascii="Times New Roman" w:hAnsi="Times New Roman"/>
          <w:sz w:val="24"/>
          <w:szCs w:val="24"/>
        </w:rPr>
        <w:t>ки дуоденита. У 21</w:t>
      </w:r>
      <w:r w:rsidRPr="004360FC">
        <w:rPr>
          <w:rFonts w:ascii="Times New Roman" w:hAnsi="Times New Roman"/>
          <w:sz w:val="24"/>
          <w:szCs w:val="24"/>
        </w:rPr>
        <w:t>,7% - эзо</w:t>
      </w:r>
      <w:r w:rsidR="009B5ED3">
        <w:rPr>
          <w:rFonts w:ascii="Times New Roman" w:hAnsi="Times New Roman"/>
          <w:sz w:val="24"/>
          <w:szCs w:val="24"/>
        </w:rPr>
        <w:t>фагита</w:t>
      </w:r>
      <w:r w:rsidRPr="004360FC">
        <w:rPr>
          <w:rFonts w:ascii="Times New Roman" w:hAnsi="Times New Roman"/>
          <w:sz w:val="24"/>
          <w:szCs w:val="24"/>
        </w:rPr>
        <w:t xml:space="preserve">. Спустя </w:t>
      </w:r>
      <w:r w:rsidR="009B5ED3">
        <w:rPr>
          <w:rFonts w:ascii="Times New Roman" w:hAnsi="Times New Roman"/>
          <w:sz w:val="24"/>
          <w:szCs w:val="24"/>
        </w:rPr>
        <w:t>1</w:t>
      </w:r>
      <w:r w:rsidRPr="004360FC">
        <w:rPr>
          <w:rFonts w:ascii="Times New Roman" w:hAnsi="Times New Roman"/>
          <w:sz w:val="24"/>
          <w:szCs w:val="24"/>
        </w:rPr>
        <w:t xml:space="preserve"> месяц после проведения эрадикационной терапии атрофические изменения обнаруживались в том же проценте случаев, что и до ее назначения. Отек и гиперемия </w:t>
      </w:r>
      <w:r w:rsidR="009B5ED3">
        <w:rPr>
          <w:rFonts w:ascii="Times New Roman" w:hAnsi="Times New Roman"/>
          <w:sz w:val="24"/>
          <w:szCs w:val="24"/>
        </w:rPr>
        <w:t xml:space="preserve">слизистой оболочки желудка </w:t>
      </w:r>
      <w:r w:rsidRPr="004360FC">
        <w:rPr>
          <w:rFonts w:ascii="Times New Roman" w:hAnsi="Times New Roman"/>
          <w:sz w:val="24"/>
          <w:szCs w:val="24"/>
        </w:rPr>
        <w:t xml:space="preserve">купировались. Острые эрозии подвергались эпителизации, а полные – </w:t>
      </w:r>
      <w:r w:rsidRPr="002C3A56">
        <w:rPr>
          <w:rFonts w:ascii="Times New Roman" w:hAnsi="Times New Roman"/>
          <w:sz w:val="24"/>
          <w:szCs w:val="24"/>
        </w:rPr>
        <w:t xml:space="preserve">обнаруживались в том же проценте, что  и до проведения лечения.  </w:t>
      </w:r>
    </w:p>
    <w:p w:rsidR="00F7635F" w:rsidRDefault="002C3A56" w:rsidP="004D37B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A56">
        <w:rPr>
          <w:rFonts w:ascii="Times New Roman" w:hAnsi="Times New Roman"/>
          <w:sz w:val="24"/>
          <w:szCs w:val="24"/>
        </w:rPr>
        <w:t xml:space="preserve">После проведения эрадикационной терапии </w:t>
      </w:r>
      <w:r w:rsidR="00D042D1" w:rsidRPr="002C3A56">
        <w:rPr>
          <w:rFonts w:ascii="Times New Roman" w:hAnsi="Times New Roman"/>
          <w:sz w:val="24"/>
          <w:szCs w:val="24"/>
          <w:lang w:val="en-US"/>
        </w:rPr>
        <w:t>H</w:t>
      </w:r>
      <w:r w:rsidR="00D042D1" w:rsidRPr="002C3A56">
        <w:rPr>
          <w:rFonts w:ascii="Times New Roman" w:hAnsi="Times New Roman"/>
          <w:sz w:val="24"/>
          <w:szCs w:val="24"/>
        </w:rPr>
        <w:t xml:space="preserve">. </w:t>
      </w:r>
      <w:r w:rsidR="00D042D1" w:rsidRPr="002C3A56">
        <w:rPr>
          <w:rFonts w:ascii="Times New Roman" w:hAnsi="Times New Roman"/>
          <w:sz w:val="24"/>
          <w:szCs w:val="24"/>
          <w:lang w:val="en-US"/>
        </w:rPr>
        <w:t>pylori</w:t>
      </w:r>
      <w:r w:rsidR="00D042D1" w:rsidRPr="002C3A56">
        <w:rPr>
          <w:rFonts w:ascii="Times New Roman" w:hAnsi="Times New Roman"/>
          <w:sz w:val="24"/>
          <w:szCs w:val="24"/>
        </w:rPr>
        <w:t xml:space="preserve"> </w:t>
      </w:r>
      <w:r w:rsidRPr="002C3A56">
        <w:rPr>
          <w:rFonts w:ascii="Times New Roman" w:hAnsi="Times New Roman"/>
          <w:sz w:val="24"/>
          <w:szCs w:val="24"/>
          <w:lang w:val="en-US"/>
        </w:rPr>
        <w:t>H</w:t>
      </w:r>
      <w:r w:rsidRPr="002C3A56">
        <w:rPr>
          <w:rFonts w:ascii="Times New Roman" w:hAnsi="Times New Roman"/>
          <w:sz w:val="24"/>
          <w:szCs w:val="24"/>
        </w:rPr>
        <w:t xml:space="preserve">. </w:t>
      </w:r>
      <w:r w:rsidRPr="002C3A56">
        <w:rPr>
          <w:rFonts w:ascii="Times New Roman" w:hAnsi="Times New Roman"/>
          <w:sz w:val="24"/>
          <w:szCs w:val="24"/>
          <w:lang w:val="en-US"/>
        </w:rPr>
        <w:t>pylori</w:t>
      </w:r>
      <w:r w:rsidRPr="002C3A56">
        <w:rPr>
          <w:rFonts w:ascii="Times New Roman" w:hAnsi="Times New Roman"/>
          <w:sz w:val="24"/>
          <w:szCs w:val="24"/>
        </w:rPr>
        <w:t xml:space="preserve"> определялся у </w:t>
      </w:r>
      <w:r w:rsidR="00A02E56">
        <w:rPr>
          <w:rFonts w:ascii="Times New Roman" w:hAnsi="Times New Roman"/>
          <w:sz w:val="24"/>
          <w:szCs w:val="24"/>
        </w:rPr>
        <w:t>10</w:t>
      </w:r>
      <w:r w:rsidRPr="002C3A56">
        <w:rPr>
          <w:rFonts w:ascii="Times New Roman" w:hAnsi="Times New Roman"/>
          <w:sz w:val="24"/>
          <w:szCs w:val="24"/>
        </w:rPr>
        <w:t xml:space="preserve">% </w:t>
      </w:r>
      <w:r w:rsidR="006644F9">
        <w:rPr>
          <w:rFonts w:ascii="Times New Roman" w:hAnsi="Times New Roman"/>
          <w:sz w:val="24"/>
          <w:szCs w:val="24"/>
        </w:rPr>
        <w:t>(</w:t>
      </w:r>
      <w:r w:rsidR="00A02E56">
        <w:rPr>
          <w:rFonts w:ascii="Times New Roman" w:hAnsi="Times New Roman"/>
          <w:sz w:val="24"/>
          <w:szCs w:val="24"/>
        </w:rPr>
        <w:t>4 чел в 1 группе</w:t>
      </w:r>
      <w:r w:rsidR="00ED716A">
        <w:rPr>
          <w:rFonts w:ascii="Times New Roman" w:hAnsi="Times New Roman"/>
          <w:sz w:val="24"/>
          <w:szCs w:val="24"/>
        </w:rPr>
        <w:t xml:space="preserve"> – Рабепразол-С</w:t>
      </w:r>
      <w:r w:rsidR="004213EB">
        <w:rPr>
          <w:rFonts w:ascii="Times New Roman" w:hAnsi="Times New Roman"/>
          <w:sz w:val="24"/>
          <w:szCs w:val="24"/>
        </w:rPr>
        <w:t>З</w:t>
      </w:r>
      <w:r w:rsidR="00A02E56">
        <w:rPr>
          <w:rFonts w:ascii="Times New Roman" w:hAnsi="Times New Roman"/>
          <w:sz w:val="24"/>
          <w:szCs w:val="24"/>
        </w:rPr>
        <w:t xml:space="preserve"> и 2 чел во 2 группе</w:t>
      </w:r>
      <w:r w:rsidR="004213EB">
        <w:rPr>
          <w:rFonts w:ascii="Times New Roman" w:hAnsi="Times New Roman"/>
          <w:sz w:val="24"/>
          <w:szCs w:val="24"/>
        </w:rPr>
        <w:t>-Париет</w:t>
      </w:r>
      <w:r w:rsidR="00F66273" w:rsidRPr="00B57F20">
        <w:rPr>
          <w:rFonts w:ascii="Times New Roman" w:hAnsi="Times New Roman"/>
          <w:sz w:val="24"/>
          <w:szCs w:val="24"/>
        </w:rPr>
        <w:t>-</w:t>
      </w:r>
      <w:r w:rsidR="00F66273" w:rsidRPr="00B57F20">
        <w:rPr>
          <w:rFonts w:ascii="Times New Roman" w:hAnsi="Times New Roman"/>
          <w:sz w:val="24"/>
          <w:szCs w:val="24"/>
          <w:lang w:val="en-US"/>
        </w:rPr>
        <w:t>N</w:t>
      </w:r>
      <w:r w:rsidR="00A02E56">
        <w:rPr>
          <w:rFonts w:ascii="Times New Roman" w:hAnsi="Times New Roman"/>
          <w:sz w:val="24"/>
          <w:szCs w:val="24"/>
        </w:rPr>
        <w:t>, р&gt;0,05</w:t>
      </w:r>
      <w:r w:rsidR="006644F9">
        <w:rPr>
          <w:rFonts w:ascii="Times New Roman" w:hAnsi="Times New Roman"/>
          <w:sz w:val="24"/>
          <w:szCs w:val="24"/>
        </w:rPr>
        <w:t xml:space="preserve">) </w:t>
      </w:r>
      <w:r w:rsidRPr="002C3A56">
        <w:rPr>
          <w:rFonts w:ascii="Times New Roman" w:hAnsi="Times New Roman"/>
          <w:sz w:val="24"/>
          <w:szCs w:val="24"/>
        </w:rPr>
        <w:t>больных</w:t>
      </w:r>
      <w:r w:rsidR="00862936">
        <w:rPr>
          <w:rFonts w:ascii="Times New Roman" w:hAnsi="Times New Roman"/>
          <w:sz w:val="24"/>
          <w:szCs w:val="24"/>
        </w:rPr>
        <w:t xml:space="preserve"> (Рис.2)</w:t>
      </w:r>
      <w:r w:rsidRPr="002C3A56">
        <w:rPr>
          <w:rFonts w:ascii="Times New Roman" w:hAnsi="Times New Roman"/>
          <w:sz w:val="24"/>
          <w:szCs w:val="24"/>
        </w:rPr>
        <w:t>.</w:t>
      </w:r>
      <w:r w:rsidR="00862936">
        <w:rPr>
          <w:rFonts w:ascii="Times New Roman" w:hAnsi="Times New Roman"/>
          <w:sz w:val="24"/>
          <w:szCs w:val="24"/>
        </w:rPr>
        <w:t xml:space="preserve"> </w:t>
      </w:r>
    </w:p>
    <w:p w:rsidR="00ED716A" w:rsidRPr="002C3A56" w:rsidRDefault="00ED716A" w:rsidP="004D37B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716A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24865" cy="2938409"/>
            <wp:effectExtent l="19050" t="0" r="32985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213EB" w:rsidRDefault="002C3A56" w:rsidP="004D37B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A56">
        <w:rPr>
          <w:rFonts w:ascii="Times New Roman" w:hAnsi="Times New Roman"/>
          <w:sz w:val="24"/>
          <w:szCs w:val="24"/>
        </w:rPr>
        <w:t>Проведенная эрадикационная терапия позволила в подавляющем проценте случаев достигнуть клинико-эндоскопической ремиссии заболевания</w:t>
      </w:r>
      <w:r w:rsidR="007912C3">
        <w:rPr>
          <w:rFonts w:ascii="Times New Roman" w:hAnsi="Times New Roman"/>
          <w:sz w:val="24"/>
          <w:szCs w:val="24"/>
        </w:rPr>
        <w:t xml:space="preserve"> и в группе с включением в схему эрадикации Рабепразола</w:t>
      </w:r>
      <w:r w:rsidR="00ED716A">
        <w:rPr>
          <w:rFonts w:ascii="Times New Roman" w:hAnsi="Times New Roman"/>
          <w:sz w:val="24"/>
          <w:szCs w:val="24"/>
        </w:rPr>
        <w:t>-С</w:t>
      </w:r>
      <w:r w:rsidR="004213EB">
        <w:rPr>
          <w:rFonts w:ascii="Times New Roman" w:hAnsi="Times New Roman"/>
          <w:sz w:val="24"/>
          <w:szCs w:val="24"/>
        </w:rPr>
        <w:t>З</w:t>
      </w:r>
      <w:r w:rsidR="007912C3">
        <w:rPr>
          <w:rFonts w:ascii="Times New Roman" w:hAnsi="Times New Roman"/>
          <w:sz w:val="24"/>
          <w:szCs w:val="24"/>
        </w:rPr>
        <w:t xml:space="preserve"> и в группе с включением Париета</w:t>
      </w:r>
      <w:r w:rsidR="00F66273" w:rsidRPr="00B57F20">
        <w:rPr>
          <w:rFonts w:ascii="Times New Roman" w:hAnsi="Times New Roman"/>
          <w:sz w:val="24"/>
          <w:szCs w:val="24"/>
        </w:rPr>
        <w:t>-</w:t>
      </w:r>
      <w:r w:rsidR="00F66273" w:rsidRPr="00B57F20">
        <w:rPr>
          <w:rFonts w:ascii="Times New Roman" w:hAnsi="Times New Roman"/>
          <w:sz w:val="24"/>
          <w:szCs w:val="24"/>
          <w:lang w:val="en-US"/>
        </w:rPr>
        <w:t>N</w:t>
      </w:r>
      <w:r w:rsidR="007912C3">
        <w:rPr>
          <w:rFonts w:ascii="Times New Roman" w:hAnsi="Times New Roman"/>
          <w:sz w:val="24"/>
          <w:szCs w:val="24"/>
        </w:rPr>
        <w:t>, различия в группах статистически не значимы (р&gt;0,05)</w:t>
      </w:r>
      <w:r w:rsidRPr="002C3A56">
        <w:rPr>
          <w:rFonts w:ascii="Times New Roman" w:hAnsi="Times New Roman"/>
          <w:sz w:val="24"/>
          <w:szCs w:val="24"/>
        </w:rPr>
        <w:t>. Активность гастрита полностью купирована. При исследовании морфологического материала у всех пациентов констатировалась минимальная степень воспалительных изменений, проявляющаяся незначительно выраженной мононуклеарной инфильтрацией собственной пластинки слизистой. Атрофия</w:t>
      </w:r>
      <w:r w:rsidR="00A02E56">
        <w:rPr>
          <w:rFonts w:ascii="Times New Roman" w:hAnsi="Times New Roman"/>
          <w:sz w:val="24"/>
          <w:szCs w:val="24"/>
        </w:rPr>
        <w:t>,</w:t>
      </w:r>
      <w:r w:rsidRPr="002C3A56">
        <w:rPr>
          <w:rFonts w:ascii="Times New Roman" w:hAnsi="Times New Roman"/>
          <w:sz w:val="24"/>
          <w:szCs w:val="24"/>
        </w:rPr>
        <w:t xml:space="preserve"> метаплазия</w:t>
      </w:r>
      <w:r w:rsidR="00A02E56">
        <w:rPr>
          <w:rFonts w:ascii="Times New Roman" w:hAnsi="Times New Roman"/>
          <w:sz w:val="24"/>
          <w:szCs w:val="24"/>
        </w:rPr>
        <w:t xml:space="preserve"> и диспластические изменения</w:t>
      </w:r>
      <w:r w:rsidRPr="002C3A56">
        <w:rPr>
          <w:rFonts w:ascii="Times New Roman" w:hAnsi="Times New Roman"/>
          <w:sz w:val="24"/>
          <w:szCs w:val="24"/>
        </w:rPr>
        <w:t xml:space="preserve"> определялись в таком же проценте случаев, что и у больных до проведения эрадикационной терапии</w:t>
      </w:r>
      <w:r w:rsidR="007912C3">
        <w:rPr>
          <w:rFonts w:ascii="Times New Roman" w:hAnsi="Times New Roman"/>
          <w:sz w:val="24"/>
          <w:szCs w:val="24"/>
        </w:rPr>
        <w:t>, их</w:t>
      </w:r>
      <w:r w:rsidRPr="002C3A56">
        <w:rPr>
          <w:rFonts w:ascii="Times New Roman" w:hAnsi="Times New Roman"/>
          <w:sz w:val="24"/>
          <w:szCs w:val="24"/>
        </w:rPr>
        <w:t xml:space="preserve"> </w:t>
      </w:r>
      <w:r w:rsidR="007912C3">
        <w:rPr>
          <w:rFonts w:ascii="Times New Roman" w:hAnsi="Times New Roman"/>
          <w:sz w:val="24"/>
          <w:szCs w:val="24"/>
        </w:rPr>
        <w:t>в</w:t>
      </w:r>
      <w:r w:rsidRPr="002C3A56">
        <w:rPr>
          <w:rFonts w:ascii="Times New Roman" w:hAnsi="Times New Roman"/>
          <w:sz w:val="24"/>
          <w:szCs w:val="24"/>
        </w:rPr>
        <w:t xml:space="preserve">ыраженность спустя </w:t>
      </w:r>
      <w:r w:rsidR="00A02E56">
        <w:rPr>
          <w:rFonts w:ascii="Times New Roman" w:hAnsi="Times New Roman"/>
          <w:sz w:val="24"/>
          <w:szCs w:val="24"/>
        </w:rPr>
        <w:t>1</w:t>
      </w:r>
      <w:r w:rsidRPr="002C3A56">
        <w:rPr>
          <w:rFonts w:ascii="Times New Roman" w:hAnsi="Times New Roman"/>
          <w:sz w:val="24"/>
          <w:szCs w:val="24"/>
        </w:rPr>
        <w:t xml:space="preserve"> месяца после проведенной эр</w:t>
      </w:r>
      <w:r w:rsidR="007912C3">
        <w:rPr>
          <w:rFonts w:ascii="Times New Roman" w:hAnsi="Times New Roman"/>
          <w:sz w:val="24"/>
          <w:szCs w:val="24"/>
        </w:rPr>
        <w:t>адикационной терапии не изменяла</w:t>
      </w:r>
      <w:r w:rsidRPr="002C3A56">
        <w:rPr>
          <w:rFonts w:ascii="Times New Roman" w:hAnsi="Times New Roman"/>
          <w:sz w:val="24"/>
          <w:szCs w:val="24"/>
        </w:rPr>
        <w:t>сь</w:t>
      </w:r>
      <w:r w:rsidR="00A02E56">
        <w:rPr>
          <w:rFonts w:ascii="Times New Roman" w:hAnsi="Times New Roman"/>
          <w:sz w:val="24"/>
          <w:szCs w:val="24"/>
        </w:rPr>
        <w:t>.</w:t>
      </w:r>
    </w:p>
    <w:p w:rsidR="0090282E" w:rsidRPr="004360FC" w:rsidRDefault="004213EB" w:rsidP="004D37B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Обсуждение. </w:t>
      </w:r>
      <w:r w:rsidR="00756915">
        <w:rPr>
          <w:rFonts w:ascii="Times New Roman" w:hAnsi="Times New Roman"/>
          <w:sz w:val="24"/>
          <w:szCs w:val="24"/>
        </w:rPr>
        <w:t>14 дневная э</w:t>
      </w:r>
      <w:r w:rsidRPr="004213EB">
        <w:rPr>
          <w:rFonts w:ascii="Times New Roman" w:hAnsi="Times New Roman"/>
          <w:sz w:val="24"/>
          <w:szCs w:val="24"/>
        </w:rPr>
        <w:t>радикационная терапия</w:t>
      </w:r>
      <w:r>
        <w:rPr>
          <w:rFonts w:ascii="Times New Roman" w:hAnsi="Times New Roman"/>
          <w:sz w:val="24"/>
          <w:szCs w:val="24"/>
        </w:rPr>
        <w:t xml:space="preserve"> в группе пациентов с хеликобактер-ассоциированным гастритом с применением </w:t>
      </w:r>
      <w:r w:rsidR="00756915">
        <w:rPr>
          <w:rFonts w:ascii="Times New Roman" w:hAnsi="Times New Roman"/>
          <w:sz w:val="24"/>
          <w:szCs w:val="24"/>
        </w:rPr>
        <w:t>схемы: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7F20">
        <w:rPr>
          <w:rFonts w:ascii="Times New Roman" w:hAnsi="Times New Roman"/>
          <w:sz w:val="24"/>
          <w:szCs w:val="24"/>
        </w:rPr>
        <w:t>Амоксициллин</w:t>
      </w:r>
      <w:r>
        <w:rPr>
          <w:rFonts w:ascii="Times New Roman" w:hAnsi="Times New Roman"/>
          <w:sz w:val="24"/>
          <w:szCs w:val="24"/>
        </w:rPr>
        <w:t>, в дозе 1000 мг 2 р. в сутки,</w:t>
      </w:r>
      <w:r w:rsidR="00756915">
        <w:rPr>
          <w:rFonts w:ascii="Times New Roman" w:hAnsi="Times New Roman"/>
          <w:sz w:val="24"/>
          <w:szCs w:val="24"/>
        </w:rPr>
        <w:t xml:space="preserve">  +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7F20">
        <w:rPr>
          <w:rFonts w:ascii="Times New Roman" w:hAnsi="Times New Roman"/>
          <w:sz w:val="24"/>
          <w:szCs w:val="24"/>
        </w:rPr>
        <w:t xml:space="preserve"> Кларитромицин</w:t>
      </w:r>
      <w:r>
        <w:rPr>
          <w:rFonts w:ascii="Times New Roman" w:hAnsi="Times New Roman"/>
          <w:sz w:val="24"/>
          <w:szCs w:val="24"/>
        </w:rPr>
        <w:t xml:space="preserve">, в дозе 500 мг 2 р. в сутки, </w:t>
      </w:r>
      <w:r w:rsidR="00756915">
        <w:rPr>
          <w:rFonts w:ascii="Times New Roman" w:hAnsi="Times New Roman"/>
          <w:sz w:val="24"/>
          <w:szCs w:val="24"/>
        </w:rPr>
        <w:t xml:space="preserve">+ </w:t>
      </w:r>
      <w:r w:rsidR="00ED716A">
        <w:rPr>
          <w:rFonts w:ascii="Times New Roman" w:hAnsi="Times New Roman"/>
          <w:sz w:val="24"/>
          <w:szCs w:val="24"/>
        </w:rPr>
        <w:t>Розувастатина-С</w:t>
      </w:r>
      <w:r w:rsidRPr="00B57F20">
        <w:rPr>
          <w:rFonts w:ascii="Times New Roman" w:hAnsi="Times New Roman"/>
          <w:sz w:val="24"/>
          <w:szCs w:val="24"/>
        </w:rPr>
        <w:t xml:space="preserve">З </w:t>
      </w:r>
      <w:r w:rsidR="00ED716A">
        <w:rPr>
          <w:rFonts w:ascii="Times New Roman" w:hAnsi="Times New Roman"/>
          <w:sz w:val="24"/>
          <w:szCs w:val="24"/>
        </w:rPr>
        <w:t>(ЗАО «Северная звезда»)</w:t>
      </w:r>
      <w:r w:rsidRPr="00B57F20">
        <w:rPr>
          <w:rFonts w:ascii="Times New Roman" w:hAnsi="Times New Roman"/>
          <w:sz w:val="24"/>
          <w:szCs w:val="24"/>
        </w:rPr>
        <w:t>20 мг в сутки</w:t>
      </w:r>
      <w:r>
        <w:rPr>
          <w:rFonts w:ascii="Times New Roman" w:hAnsi="Times New Roman"/>
          <w:sz w:val="24"/>
          <w:szCs w:val="24"/>
        </w:rPr>
        <w:t xml:space="preserve"> – показала высокую степень эффективности, </w:t>
      </w:r>
      <w:r w:rsidR="00756915">
        <w:rPr>
          <w:rFonts w:ascii="Times New Roman" w:hAnsi="Times New Roman"/>
          <w:sz w:val="24"/>
          <w:szCs w:val="24"/>
        </w:rPr>
        <w:t xml:space="preserve">как при включении </w:t>
      </w:r>
      <w:r w:rsidR="00756915" w:rsidRPr="00B57F20">
        <w:rPr>
          <w:rFonts w:ascii="Times New Roman" w:hAnsi="Times New Roman"/>
          <w:sz w:val="24"/>
          <w:szCs w:val="24"/>
        </w:rPr>
        <w:t>Париет-</w:t>
      </w:r>
      <w:r w:rsidR="00756915" w:rsidRPr="00B57F20">
        <w:rPr>
          <w:rFonts w:ascii="Times New Roman" w:hAnsi="Times New Roman"/>
          <w:sz w:val="24"/>
          <w:szCs w:val="24"/>
          <w:lang w:val="en-US"/>
        </w:rPr>
        <w:t>N</w:t>
      </w:r>
      <w:r w:rsidR="00756915">
        <w:rPr>
          <w:rFonts w:ascii="Times New Roman" w:hAnsi="Times New Roman"/>
          <w:sz w:val="24"/>
          <w:szCs w:val="24"/>
        </w:rPr>
        <w:t>, в дозе</w:t>
      </w:r>
      <w:r w:rsidR="00756915" w:rsidRPr="00B57F20">
        <w:rPr>
          <w:rFonts w:ascii="Times New Roman" w:hAnsi="Times New Roman"/>
          <w:sz w:val="24"/>
          <w:szCs w:val="24"/>
        </w:rPr>
        <w:t xml:space="preserve"> 40 мг</w:t>
      </w:r>
      <w:r w:rsidR="00ED716A">
        <w:rPr>
          <w:rFonts w:ascii="Times New Roman" w:hAnsi="Times New Roman"/>
          <w:sz w:val="24"/>
          <w:szCs w:val="24"/>
        </w:rPr>
        <w:t>(20 мг х 2 таб)</w:t>
      </w:r>
      <w:r w:rsidR="00756915" w:rsidRPr="00B57F20">
        <w:rPr>
          <w:rFonts w:ascii="Times New Roman" w:hAnsi="Times New Roman"/>
          <w:sz w:val="24"/>
          <w:szCs w:val="24"/>
        </w:rPr>
        <w:t xml:space="preserve"> 2 раза в сутки</w:t>
      </w:r>
      <w:r w:rsidR="00756915">
        <w:rPr>
          <w:rFonts w:ascii="Times New Roman" w:hAnsi="Times New Roman"/>
          <w:sz w:val="24"/>
          <w:szCs w:val="24"/>
        </w:rPr>
        <w:t xml:space="preserve">, так и </w:t>
      </w:r>
      <w:r w:rsidR="00756915" w:rsidRPr="00B57F20">
        <w:rPr>
          <w:rFonts w:ascii="Times New Roman" w:hAnsi="Times New Roman"/>
          <w:sz w:val="24"/>
          <w:szCs w:val="24"/>
        </w:rPr>
        <w:t>Рабепразол</w:t>
      </w:r>
      <w:r w:rsidR="00756915">
        <w:rPr>
          <w:rFonts w:ascii="Times New Roman" w:hAnsi="Times New Roman"/>
          <w:sz w:val="24"/>
          <w:szCs w:val="24"/>
        </w:rPr>
        <w:t>а</w:t>
      </w:r>
      <w:r w:rsidR="00ED716A">
        <w:rPr>
          <w:rFonts w:ascii="Times New Roman" w:hAnsi="Times New Roman"/>
          <w:sz w:val="24"/>
          <w:szCs w:val="24"/>
        </w:rPr>
        <w:t>-С</w:t>
      </w:r>
      <w:r w:rsidR="00756915" w:rsidRPr="00B57F20">
        <w:rPr>
          <w:rFonts w:ascii="Times New Roman" w:hAnsi="Times New Roman"/>
          <w:sz w:val="24"/>
          <w:szCs w:val="24"/>
        </w:rPr>
        <w:t>З</w:t>
      </w:r>
      <w:r w:rsidR="00756915">
        <w:rPr>
          <w:rFonts w:ascii="Times New Roman" w:hAnsi="Times New Roman"/>
          <w:sz w:val="24"/>
          <w:szCs w:val="24"/>
        </w:rPr>
        <w:t>, в дозе</w:t>
      </w:r>
      <w:r w:rsidR="00756915" w:rsidRPr="00B57F20">
        <w:rPr>
          <w:rFonts w:ascii="Times New Roman" w:hAnsi="Times New Roman"/>
          <w:sz w:val="24"/>
          <w:szCs w:val="24"/>
        </w:rPr>
        <w:t xml:space="preserve"> 40 мг</w:t>
      </w:r>
      <w:r w:rsidR="00ED716A">
        <w:rPr>
          <w:rFonts w:ascii="Times New Roman" w:hAnsi="Times New Roman"/>
          <w:sz w:val="24"/>
          <w:szCs w:val="24"/>
        </w:rPr>
        <w:t>(20 мг х 2 таб)</w:t>
      </w:r>
      <w:r w:rsidR="00756915" w:rsidRPr="00B57F20">
        <w:rPr>
          <w:rFonts w:ascii="Times New Roman" w:hAnsi="Times New Roman"/>
          <w:sz w:val="24"/>
          <w:szCs w:val="24"/>
        </w:rPr>
        <w:t xml:space="preserve"> 2 раза в сутки</w:t>
      </w:r>
      <w:r w:rsidR="00756915">
        <w:rPr>
          <w:rFonts w:ascii="Times New Roman" w:hAnsi="Times New Roman"/>
          <w:sz w:val="24"/>
          <w:szCs w:val="24"/>
        </w:rPr>
        <w:t xml:space="preserve"> (р&gt;0,05). Эрадикация достигнута в 90% случаев</w:t>
      </w:r>
      <w:r w:rsidR="00921CB5">
        <w:rPr>
          <w:rFonts w:ascii="Times New Roman" w:hAnsi="Times New Roman"/>
          <w:sz w:val="24"/>
          <w:szCs w:val="24"/>
        </w:rPr>
        <w:t xml:space="preserve"> (различия в группах статистически не значимы, р&gt;0,05). </w:t>
      </w:r>
      <w:r w:rsidR="00F66273">
        <w:rPr>
          <w:rFonts w:ascii="Times New Roman" w:hAnsi="Times New Roman"/>
          <w:sz w:val="24"/>
          <w:szCs w:val="24"/>
        </w:rPr>
        <w:t xml:space="preserve">Активность гастрита полностью купирована. </w:t>
      </w:r>
      <w:r w:rsidR="00921CB5">
        <w:rPr>
          <w:rFonts w:ascii="Times New Roman" w:hAnsi="Times New Roman"/>
          <w:sz w:val="24"/>
          <w:szCs w:val="24"/>
        </w:rPr>
        <w:t xml:space="preserve">Следует отметить, что у 15% пациентов  не удалось достичь полного разрешения клинической симптоматики, что, очевидно, связано с наличием более глубоких морфологических изменений </w:t>
      </w:r>
      <w:r w:rsidR="00171E68">
        <w:rPr>
          <w:rFonts w:ascii="Times New Roman" w:hAnsi="Times New Roman"/>
          <w:sz w:val="24"/>
          <w:szCs w:val="24"/>
        </w:rPr>
        <w:t>слизистой оболочки жел</w:t>
      </w:r>
      <w:r w:rsidR="00F66273">
        <w:rPr>
          <w:rFonts w:ascii="Times New Roman" w:hAnsi="Times New Roman"/>
          <w:sz w:val="24"/>
          <w:szCs w:val="24"/>
        </w:rPr>
        <w:t>у</w:t>
      </w:r>
      <w:r w:rsidR="00171E68">
        <w:rPr>
          <w:rFonts w:ascii="Times New Roman" w:hAnsi="Times New Roman"/>
          <w:sz w:val="24"/>
          <w:szCs w:val="24"/>
        </w:rPr>
        <w:t>д</w:t>
      </w:r>
      <w:r w:rsidR="00F66273">
        <w:rPr>
          <w:rFonts w:ascii="Times New Roman" w:hAnsi="Times New Roman"/>
          <w:sz w:val="24"/>
          <w:szCs w:val="24"/>
        </w:rPr>
        <w:t xml:space="preserve">ка </w:t>
      </w:r>
      <w:r w:rsidR="00921CB5">
        <w:rPr>
          <w:rFonts w:ascii="Times New Roman" w:hAnsi="Times New Roman"/>
          <w:sz w:val="24"/>
          <w:szCs w:val="24"/>
        </w:rPr>
        <w:t xml:space="preserve">у данных пациентов. </w:t>
      </w:r>
    </w:p>
    <w:p w:rsidR="00F62FE9" w:rsidRPr="00756915" w:rsidRDefault="00756915" w:rsidP="004D37B4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56915">
        <w:rPr>
          <w:rFonts w:ascii="Times New Roman" w:hAnsi="Times New Roman"/>
          <w:sz w:val="24"/>
          <w:szCs w:val="24"/>
        </w:rPr>
        <w:lastRenderedPageBreak/>
        <w:t xml:space="preserve">Результаты проведенного исследования дают основание высказать мнение об экономической целесообразности </w:t>
      </w:r>
      <w:r>
        <w:rPr>
          <w:rFonts w:ascii="Times New Roman" w:hAnsi="Times New Roman"/>
          <w:sz w:val="24"/>
          <w:szCs w:val="24"/>
        </w:rPr>
        <w:t xml:space="preserve">применения 14 дневной схемы эрадикационной терапии с комбинацией: </w:t>
      </w:r>
      <w:r w:rsidRPr="00756915">
        <w:rPr>
          <w:rFonts w:ascii="Times New Roman" w:hAnsi="Times New Roman"/>
          <w:sz w:val="24"/>
          <w:szCs w:val="24"/>
        </w:rPr>
        <w:t xml:space="preserve"> </w:t>
      </w:r>
      <w:r w:rsidR="00ED716A">
        <w:rPr>
          <w:rFonts w:ascii="Times New Roman" w:hAnsi="Times New Roman"/>
          <w:sz w:val="24"/>
          <w:szCs w:val="24"/>
        </w:rPr>
        <w:t>Рабепразол-С</w:t>
      </w:r>
      <w:r w:rsidRPr="00B57F20">
        <w:rPr>
          <w:rFonts w:ascii="Times New Roman" w:hAnsi="Times New Roman"/>
          <w:sz w:val="24"/>
          <w:szCs w:val="24"/>
        </w:rPr>
        <w:t>З 40 мг</w:t>
      </w:r>
      <w:r w:rsidR="00ED716A">
        <w:rPr>
          <w:rFonts w:ascii="Times New Roman" w:hAnsi="Times New Roman"/>
          <w:sz w:val="24"/>
          <w:szCs w:val="24"/>
        </w:rPr>
        <w:t>(20 мг х 2 таб)</w:t>
      </w:r>
      <w:r w:rsidRPr="00B57F20">
        <w:rPr>
          <w:rFonts w:ascii="Times New Roman" w:hAnsi="Times New Roman"/>
          <w:sz w:val="24"/>
          <w:szCs w:val="24"/>
        </w:rPr>
        <w:t xml:space="preserve"> 2 раза в сутки +Амоксициллин 1000 мг 2 р. в сутки + Кларитромицин 500 м</w:t>
      </w:r>
      <w:r w:rsidR="00ED716A">
        <w:rPr>
          <w:rFonts w:ascii="Times New Roman" w:hAnsi="Times New Roman"/>
          <w:sz w:val="24"/>
          <w:szCs w:val="24"/>
        </w:rPr>
        <w:t>г 2 р. в сутки + Розувастатина-С</w:t>
      </w:r>
      <w:r w:rsidRPr="00B57F20">
        <w:rPr>
          <w:rFonts w:ascii="Times New Roman" w:hAnsi="Times New Roman"/>
          <w:sz w:val="24"/>
          <w:szCs w:val="24"/>
        </w:rPr>
        <w:t>З 20 мг в сутки</w:t>
      </w:r>
      <w:r>
        <w:rPr>
          <w:rFonts w:ascii="Times New Roman" w:hAnsi="Times New Roman"/>
          <w:sz w:val="24"/>
          <w:szCs w:val="24"/>
        </w:rPr>
        <w:t>,</w:t>
      </w:r>
      <w:r w:rsidRPr="00756915">
        <w:rPr>
          <w:rFonts w:ascii="Times New Roman" w:hAnsi="Times New Roman"/>
          <w:sz w:val="24"/>
          <w:szCs w:val="24"/>
        </w:rPr>
        <w:t xml:space="preserve"> у больных</w:t>
      </w:r>
      <w:r>
        <w:rPr>
          <w:rFonts w:ascii="Times New Roman" w:hAnsi="Times New Roman"/>
          <w:sz w:val="24"/>
          <w:szCs w:val="24"/>
        </w:rPr>
        <w:t xml:space="preserve"> с хеликобактер-ассоциированными заболеваниями.</w:t>
      </w:r>
    </w:p>
    <w:p w:rsidR="00F62FE9" w:rsidRPr="00B57F20" w:rsidRDefault="00F62FE9" w:rsidP="004D37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71E68" w:rsidRDefault="00171E68" w:rsidP="004D37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62FE9" w:rsidRPr="004213EB" w:rsidRDefault="00F62FE9" w:rsidP="004D37B4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57F20">
        <w:rPr>
          <w:rFonts w:ascii="Times New Roman" w:hAnsi="Times New Roman"/>
          <w:sz w:val="24"/>
          <w:szCs w:val="24"/>
        </w:rPr>
        <w:t>Литература</w:t>
      </w:r>
      <w:r w:rsidRPr="004213EB">
        <w:rPr>
          <w:rFonts w:ascii="Times New Roman" w:hAnsi="Times New Roman"/>
          <w:sz w:val="24"/>
          <w:szCs w:val="24"/>
        </w:rPr>
        <w:t>:</w:t>
      </w:r>
    </w:p>
    <w:p w:rsidR="00F62FE9" w:rsidRPr="00B57F20" w:rsidRDefault="00F62FE9" w:rsidP="004D37B4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Style w:val="refpages"/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B57F20">
        <w:rPr>
          <w:rStyle w:val="refauthors"/>
          <w:rFonts w:ascii="Times New Roman" w:hAnsi="Times New Roman"/>
          <w:sz w:val="24"/>
          <w:szCs w:val="24"/>
          <w:shd w:val="clear" w:color="auto" w:fill="FFFFFF"/>
          <w:lang w:val="en-US"/>
        </w:rPr>
        <w:t>Eusebi</w:t>
      </w:r>
      <w:r w:rsidRPr="003A1DD7">
        <w:rPr>
          <w:rStyle w:val="refauthors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Pr="00B57F20">
        <w:rPr>
          <w:rStyle w:val="refauthors"/>
          <w:rFonts w:ascii="Times New Roman" w:hAnsi="Times New Roman"/>
          <w:sz w:val="24"/>
          <w:szCs w:val="24"/>
          <w:shd w:val="clear" w:color="auto" w:fill="FFFFFF"/>
          <w:lang w:val="en-US"/>
        </w:rPr>
        <w:t>L</w:t>
      </w:r>
      <w:r w:rsidRPr="003A1DD7">
        <w:rPr>
          <w:rStyle w:val="refauthors"/>
          <w:rFonts w:ascii="Times New Roman" w:hAnsi="Times New Roman"/>
          <w:sz w:val="24"/>
          <w:szCs w:val="24"/>
          <w:shd w:val="clear" w:color="auto" w:fill="FFFFFF"/>
          <w:lang w:val="en-US"/>
        </w:rPr>
        <w:t>.</w:t>
      </w:r>
      <w:r w:rsidRPr="00B57F20">
        <w:rPr>
          <w:rStyle w:val="refauthors"/>
          <w:rFonts w:ascii="Times New Roman" w:hAnsi="Times New Roman"/>
          <w:sz w:val="24"/>
          <w:szCs w:val="24"/>
          <w:shd w:val="clear" w:color="auto" w:fill="FFFFFF"/>
          <w:lang w:val="en-US"/>
        </w:rPr>
        <w:t>H</w:t>
      </w:r>
      <w:r w:rsidRPr="003A1DD7">
        <w:rPr>
          <w:rStyle w:val="refauthors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., </w:t>
      </w:r>
      <w:r w:rsidRPr="00B57F20">
        <w:rPr>
          <w:rStyle w:val="refauthors"/>
          <w:rFonts w:ascii="Times New Roman" w:hAnsi="Times New Roman"/>
          <w:sz w:val="24"/>
          <w:szCs w:val="24"/>
          <w:shd w:val="clear" w:color="auto" w:fill="FFFFFF"/>
          <w:lang w:val="en-US"/>
        </w:rPr>
        <w:t>Zagari</w:t>
      </w:r>
      <w:r w:rsidRPr="003A1DD7">
        <w:rPr>
          <w:rStyle w:val="refauthors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Pr="00B57F20">
        <w:rPr>
          <w:rStyle w:val="refauthors"/>
          <w:rFonts w:ascii="Times New Roman" w:hAnsi="Times New Roman"/>
          <w:sz w:val="24"/>
          <w:szCs w:val="24"/>
          <w:shd w:val="clear" w:color="auto" w:fill="FFFFFF"/>
          <w:lang w:val="en-US"/>
        </w:rPr>
        <w:t>R</w:t>
      </w:r>
      <w:r w:rsidRPr="003A1DD7">
        <w:rPr>
          <w:rStyle w:val="refauthors"/>
          <w:rFonts w:ascii="Times New Roman" w:hAnsi="Times New Roman"/>
          <w:sz w:val="24"/>
          <w:szCs w:val="24"/>
          <w:shd w:val="clear" w:color="auto" w:fill="FFFFFF"/>
          <w:lang w:val="en-US"/>
        </w:rPr>
        <w:t>.</w:t>
      </w:r>
      <w:r w:rsidRPr="00B57F20">
        <w:rPr>
          <w:rStyle w:val="refauthors"/>
          <w:rFonts w:ascii="Times New Roman" w:hAnsi="Times New Roman"/>
          <w:sz w:val="24"/>
          <w:szCs w:val="24"/>
          <w:shd w:val="clear" w:color="auto" w:fill="FFFFFF"/>
          <w:lang w:val="en-US"/>
        </w:rPr>
        <w:t>M</w:t>
      </w:r>
      <w:r w:rsidRPr="003A1DD7">
        <w:rPr>
          <w:rStyle w:val="refauthors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., </w:t>
      </w:r>
      <w:r w:rsidRPr="00B57F20">
        <w:rPr>
          <w:rStyle w:val="refauthors"/>
          <w:rFonts w:ascii="Times New Roman" w:hAnsi="Times New Roman"/>
          <w:sz w:val="24"/>
          <w:szCs w:val="24"/>
          <w:shd w:val="clear" w:color="auto" w:fill="FFFFFF"/>
          <w:lang w:val="en-US"/>
        </w:rPr>
        <w:t>and</w:t>
      </w:r>
      <w:r w:rsidRPr="003A1DD7">
        <w:rPr>
          <w:rStyle w:val="refauthors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Pr="00B57F20">
        <w:rPr>
          <w:rStyle w:val="refauthors"/>
          <w:rFonts w:ascii="Times New Roman" w:hAnsi="Times New Roman"/>
          <w:sz w:val="24"/>
          <w:szCs w:val="24"/>
          <w:shd w:val="clear" w:color="auto" w:fill="FFFFFF"/>
          <w:lang w:val="en-US"/>
        </w:rPr>
        <w:t>Bazzoli</w:t>
      </w:r>
      <w:r w:rsidRPr="003A1DD7">
        <w:rPr>
          <w:rStyle w:val="refauthors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Pr="00B57F20">
        <w:rPr>
          <w:rStyle w:val="refauthors"/>
          <w:rFonts w:ascii="Times New Roman" w:hAnsi="Times New Roman"/>
          <w:sz w:val="24"/>
          <w:szCs w:val="24"/>
          <w:shd w:val="clear" w:color="auto" w:fill="FFFFFF"/>
          <w:lang w:val="en-US"/>
        </w:rPr>
        <w:t>F</w:t>
      </w:r>
      <w:r w:rsidRPr="003A1DD7">
        <w:rPr>
          <w:rStyle w:val="refauthors"/>
          <w:rFonts w:ascii="Times New Roman" w:hAnsi="Times New Roman"/>
          <w:sz w:val="24"/>
          <w:szCs w:val="24"/>
          <w:shd w:val="clear" w:color="auto" w:fill="FFFFFF"/>
          <w:lang w:val="en-US"/>
        </w:rPr>
        <w:t>.</w:t>
      </w:r>
      <w:r w:rsidRPr="00B57F20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3A1DD7">
        <w:rPr>
          <w:rStyle w:val="reftitle"/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Epidemiology</w:t>
      </w:r>
      <w:r w:rsidR="003A1DD7" w:rsidRPr="003A1DD7">
        <w:rPr>
          <w:rStyle w:val="reftitle"/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 xml:space="preserve"> </w:t>
      </w:r>
      <w:r w:rsidRPr="003A1DD7">
        <w:rPr>
          <w:rStyle w:val="reftitle"/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of</w:t>
      </w:r>
      <w:r w:rsidRPr="003A1DD7">
        <w:rPr>
          <w:rStyle w:val="apple-converted-space"/>
          <w:rFonts w:ascii="Times New Roman" w:hAnsi="Times New Roman"/>
          <w:bCs/>
          <w:i/>
          <w:sz w:val="24"/>
          <w:szCs w:val="24"/>
          <w:shd w:val="clear" w:color="auto" w:fill="FFFFFF"/>
          <w:lang w:val="en-US"/>
        </w:rPr>
        <w:t> </w:t>
      </w:r>
      <w:r w:rsidRPr="003A1DD7">
        <w:rPr>
          <w:rStyle w:val="a5"/>
          <w:rFonts w:ascii="Times New Roman" w:hAnsi="Times New Roman"/>
          <w:bCs/>
          <w:i w:val="0"/>
          <w:sz w:val="24"/>
          <w:szCs w:val="24"/>
          <w:shd w:val="clear" w:color="auto" w:fill="FFFFFF"/>
          <w:lang w:val="en-US"/>
        </w:rPr>
        <w:t>Helicobacter pylori</w:t>
      </w:r>
      <w:r w:rsidRPr="00B57F20"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 </w:t>
      </w:r>
      <w:r w:rsidRPr="00B57F20">
        <w:rPr>
          <w:rStyle w:val="reftitle"/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infection</w:t>
      </w:r>
      <w:r w:rsidRPr="003A1DD7">
        <w:rPr>
          <w:rStyle w:val="reftitle"/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 xml:space="preserve">. </w:t>
      </w:r>
      <w:r w:rsidRPr="00B57F20">
        <w:rPr>
          <w:rStyle w:val="refseriestitle"/>
          <w:rFonts w:ascii="Times New Roman" w:hAnsi="Times New Roman"/>
          <w:iCs/>
          <w:sz w:val="24"/>
          <w:szCs w:val="24"/>
          <w:shd w:val="clear" w:color="auto" w:fill="FFFFFF"/>
          <w:lang w:val="en-US"/>
        </w:rPr>
        <w:t>Helicobacter</w:t>
      </w:r>
      <w:r w:rsidRPr="004213E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B57F20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4213EB">
        <w:rPr>
          <w:rStyle w:val="refseriesdate"/>
          <w:rFonts w:ascii="Times New Roman" w:hAnsi="Times New Roman"/>
          <w:sz w:val="24"/>
          <w:szCs w:val="24"/>
          <w:shd w:val="clear" w:color="auto" w:fill="FFFFFF"/>
        </w:rPr>
        <w:t>2014</w:t>
      </w:r>
      <w:r w:rsidRPr="004213EB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Pr="00B57F20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57F20">
        <w:rPr>
          <w:rStyle w:val="refseriesvolume"/>
          <w:rFonts w:ascii="Times New Roman" w:hAnsi="Times New Roman"/>
          <w:sz w:val="24"/>
          <w:szCs w:val="24"/>
          <w:shd w:val="clear" w:color="auto" w:fill="FFFFFF"/>
          <w:lang w:val="en-US"/>
        </w:rPr>
        <w:t>19</w:t>
      </w:r>
      <w:r w:rsidRPr="00B57F2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:</w:t>
      </w:r>
      <w:r w:rsidRPr="00B57F20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57F20">
        <w:rPr>
          <w:rStyle w:val="refpages"/>
          <w:rFonts w:ascii="Times New Roman" w:hAnsi="Times New Roman"/>
          <w:sz w:val="24"/>
          <w:szCs w:val="24"/>
          <w:shd w:val="clear" w:color="auto" w:fill="FFFFFF"/>
          <w:lang w:val="en-US"/>
        </w:rPr>
        <w:t>1–5</w:t>
      </w:r>
      <w:r w:rsidR="00AB1F62" w:rsidRPr="00B57F20">
        <w:rPr>
          <w:rStyle w:val="refpages"/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AB1F62" w:rsidRPr="00B57F20" w:rsidRDefault="00AB1F62" w:rsidP="004D37B4">
      <w:pPr>
        <w:pStyle w:val="desc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lang w:val="en-US"/>
        </w:rPr>
      </w:pPr>
      <w:r w:rsidRPr="00B57F20">
        <w:rPr>
          <w:lang w:val="en-US"/>
        </w:rPr>
        <w:t xml:space="preserve">Leja M, Axon A, Brenner H. </w:t>
      </w:r>
      <w:hyperlink r:id="rId9" w:history="1">
        <w:r w:rsidRPr="00B57F20">
          <w:rPr>
            <w:rStyle w:val="a4"/>
            <w:bCs/>
            <w:color w:val="auto"/>
            <w:u w:val="none"/>
            <w:lang w:val="en-US"/>
          </w:rPr>
          <w:t>Epidemiology</w:t>
        </w:r>
        <w:r w:rsidRPr="00B57F20">
          <w:rPr>
            <w:rStyle w:val="apple-converted-space"/>
            <w:lang w:val="en-US"/>
          </w:rPr>
          <w:t> </w:t>
        </w:r>
        <w:r w:rsidRPr="00B57F20">
          <w:rPr>
            <w:rStyle w:val="a4"/>
            <w:color w:val="auto"/>
            <w:u w:val="none"/>
            <w:lang w:val="en-US"/>
          </w:rPr>
          <w:t>of</w:t>
        </w:r>
        <w:r w:rsidRPr="00B57F20">
          <w:rPr>
            <w:rStyle w:val="apple-converted-space"/>
            <w:lang w:val="en-US"/>
          </w:rPr>
          <w:t> </w:t>
        </w:r>
        <w:r w:rsidRPr="00B57F20">
          <w:rPr>
            <w:rStyle w:val="a4"/>
            <w:bCs/>
            <w:color w:val="auto"/>
            <w:u w:val="none"/>
            <w:lang w:val="en-US"/>
          </w:rPr>
          <w:t>Helicobacter pylori</w:t>
        </w:r>
        <w:r w:rsidRPr="00B57F20">
          <w:rPr>
            <w:rStyle w:val="apple-converted-space"/>
            <w:lang w:val="en-US"/>
          </w:rPr>
          <w:t> </w:t>
        </w:r>
        <w:r w:rsidRPr="00B57F20">
          <w:rPr>
            <w:rStyle w:val="a4"/>
            <w:bCs/>
            <w:color w:val="auto"/>
            <w:u w:val="none"/>
            <w:lang w:val="en-US"/>
          </w:rPr>
          <w:t>infection</w:t>
        </w:r>
        <w:r w:rsidRPr="00B57F20">
          <w:rPr>
            <w:rStyle w:val="a4"/>
            <w:color w:val="auto"/>
            <w:u w:val="none"/>
            <w:lang w:val="en-US"/>
          </w:rPr>
          <w:t>.</w:t>
        </w:r>
      </w:hyperlink>
    </w:p>
    <w:p w:rsidR="00AB1F62" w:rsidRPr="00B57F20" w:rsidRDefault="00AB1F62" w:rsidP="004D37B4">
      <w:pPr>
        <w:pStyle w:val="details"/>
        <w:shd w:val="clear" w:color="auto" w:fill="FFFFFF"/>
        <w:spacing w:before="0" w:beforeAutospacing="0" w:after="0" w:afterAutospacing="0" w:line="360" w:lineRule="auto"/>
      </w:pPr>
      <w:r w:rsidRPr="00B57F20">
        <w:rPr>
          <w:rStyle w:val="jrnl"/>
          <w:bCs/>
          <w:lang w:val="en-US"/>
        </w:rPr>
        <w:t>Helicobacter</w:t>
      </w:r>
      <w:r w:rsidRPr="00B57F20">
        <w:rPr>
          <w:lang w:val="en-US"/>
        </w:rPr>
        <w:t>. 2016 Sep; 21 Suppl 1: 3-7. doi: 10.1111/hel.12332. PMID: 27531531</w:t>
      </w:r>
    </w:p>
    <w:p w:rsidR="00AB1F62" w:rsidRPr="00B57F20" w:rsidRDefault="00856B5A" w:rsidP="004D37B4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B57F20">
        <w:rPr>
          <w:rFonts w:ascii="Times New Roman" w:hAnsi="Times New Roman"/>
          <w:bCs/>
          <w:sz w:val="24"/>
          <w:szCs w:val="24"/>
          <w:lang w:val="en-US"/>
        </w:rPr>
        <w:t xml:space="preserve">Correa M, Piazuelo B. The gastric precancerous cascade. J Dig Dis. 2012 Jan; 13(1): 2–9. </w:t>
      </w:r>
    </w:p>
    <w:p w:rsidR="00AB1F62" w:rsidRPr="00B57F20" w:rsidRDefault="00AB1F62" w:rsidP="004D37B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B57F20">
        <w:rPr>
          <w:rFonts w:ascii="Times New Roman" w:hAnsi="Times New Roman"/>
          <w:sz w:val="24"/>
          <w:szCs w:val="24"/>
          <w:lang w:val="en-US"/>
        </w:rPr>
        <w:t>Piazuelo M.B., Correa P. Gastric cáncer: Overview. Colomb Med (Cali). 2013 Sep 30;44(3):192-201.</w:t>
      </w:r>
    </w:p>
    <w:p w:rsidR="00AB1F62" w:rsidRPr="00B57F20" w:rsidRDefault="004C6754" w:rsidP="004D37B4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Style w:val="nowrap"/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B57F2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Li Z, Zou D, Ma X, Chen J, Shi X, Gong Y, Man X, Gao L, Zhao Y, Wang R, et al. Epidemiology of peptic ulcer disease: endoscopic results of the systematic investigation of gastrointestinal disease in China.</w:t>
      </w:r>
      <w:r w:rsidRPr="00B57F20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FA4EC6">
        <w:rPr>
          <w:rStyle w:val="ref-journal"/>
          <w:rFonts w:ascii="Times New Roman" w:hAnsi="Times New Roman"/>
          <w:sz w:val="24"/>
          <w:szCs w:val="24"/>
          <w:shd w:val="clear" w:color="auto" w:fill="FFFFFF"/>
          <w:lang w:val="en-US"/>
        </w:rPr>
        <w:t>Am J Gastroenterol.</w:t>
      </w:r>
      <w:r w:rsidRPr="00FA4EC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916F7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2010;</w:t>
      </w:r>
      <w:r w:rsidRPr="00916F76">
        <w:rPr>
          <w:rStyle w:val="ref-vol"/>
          <w:rFonts w:ascii="Times New Roman" w:hAnsi="Times New Roman"/>
          <w:sz w:val="24"/>
          <w:szCs w:val="24"/>
          <w:shd w:val="clear" w:color="auto" w:fill="FFFFFF"/>
          <w:lang w:val="en-US"/>
        </w:rPr>
        <w:t>105</w:t>
      </w:r>
      <w:r w:rsidRPr="00916F7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:2570–2577.</w:t>
      </w:r>
      <w:r w:rsidRPr="00916F7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916F76">
        <w:rPr>
          <w:rStyle w:val="nowrap"/>
          <w:rFonts w:ascii="Times New Roman" w:hAnsi="Times New Roman"/>
          <w:sz w:val="24"/>
          <w:szCs w:val="24"/>
          <w:shd w:val="clear" w:color="auto" w:fill="FFFFFF"/>
          <w:lang w:val="en-US"/>
        </w:rPr>
        <w:t>[</w:t>
      </w:r>
      <w:hyperlink r:id="rId10" w:tgtFrame="pmc_ext" w:history="1">
        <w:r w:rsidRPr="00916F76">
          <w:rPr>
            <w:rStyle w:val="a4"/>
            <w:rFonts w:ascii="Times New Roman" w:hAnsi="Times New Roman"/>
            <w:color w:val="auto"/>
            <w:sz w:val="24"/>
            <w:szCs w:val="24"/>
            <w:shd w:val="clear" w:color="auto" w:fill="FFFFFF"/>
            <w:lang w:val="en-US"/>
          </w:rPr>
          <w:t>PubMed</w:t>
        </w:r>
      </w:hyperlink>
      <w:r w:rsidRPr="00916F76">
        <w:rPr>
          <w:rStyle w:val="nowrap"/>
          <w:rFonts w:ascii="Times New Roman" w:hAnsi="Times New Roman"/>
          <w:sz w:val="24"/>
          <w:szCs w:val="24"/>
          <w:shd w:val="clear" w:color="auto" w:fill="FFFFFF"/>
          <w:lang w:val="en-US"/>
        </w:rPr>
        <w:t>]</w:t>
      </w:r>
    </w:p>
    <w:p w:rsidR="004C6754" w:rsidRPr="00B57F20" w:rsidRDefault="004C6754" w:rsidP="004D37B4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Style w:val="nowrap"/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B57F2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Taniyama K, Shimbo T, Iwase H, Tanaka S, Watanabe N, Uemura N. Evidence-based therapy according to the guideline for gastric ulcers is cost-effective in Japan.</w:t>
      </w:r>
      <w:r w:rsidRPr="00B57F20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B57F20">
        <w:rPr>
          <w:rStyle w:val="ref-journal"/>
          <w:rFonts w:ascii="Times New Roman" w:hAnsi="Times New Roman"/>
          <w:sz w:val="24"/>
          <w:szCs w:val="24"/>
          <w:shd w:val="clear" w:color="auto" w:fill="FFFFFF"/>
        </w:rPr>
        <w:t>J Physiol Pharmacol.</w:t>
      </w:r>
      <w:r w:rsidRPr="00B57F2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B57F20">
        <w:rPr>
          <w:rFonts w:ascii="Times New Roman" w:hAnsi="Times New Roman"/>
          <w:sz w:val="24"/>
          <w:szCs w:val="24"/>
          <w:shd w:val="clear" w:color="auto" w:fill="FFFFFF"/>
        </w:rPr>
        <w:t>2011;</w:t>
      </w:r>
      <w:r w:rsidRPr="00B57F20">
        <w:rPr>
          <w:rStyle w:val="ref-vol"/>
          <w:rFonts w:ascii="Times New Roman" w:hAnsi="Times New Roman"/>
          <w:sz w:val="24"/>
          <w:szCs w:val="24"/>
          <w:shd w:val="clear" w:color="auto" w:fill="FFFFFF"/>
        </w:rPr>
        <w:t>62</w:t>
      </w:r>
      <w:r w:rsidRPr="00B57F20">
        <w:rPr>
          <w:rFonts w:ascii="Times New Roman" w:hAnsi="Times New Roman"/>
          <w:sz w:val="24"/>
          <w:szCs w:val="24"/>
          <w:shd w:val="clear" w:color="auto" w:fill="FFFFFF"/>
        </w:rPr>
        <w:t>:627–635.</w:t>
      </w:r>
      <w:r w:rsidRPr="00B57F20">
        <w:rPr>
          <w:rStyle w:val="nowrap"/>
          <w:rFonts w:ascii="Times New Roman" w:hAnsi="Times New Roman"/>
          <w:sz w:val="24"/>
          <w:szCs w:val="24"/>
          <w:shd w:val="clear" w:color="auto" w:fill="FFFFFF"/>
        </w:rPr>
        <w:t>[</w:t>
      </w:r>
      <w:hyperlink r:id="rId11" w:tgtFrame="pmc_ext" w:history="1">
        <w:r w:rsidRPr="00B57F20">
          <w:rPr>
            <w:rStyle w:val="a4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PubMed</w:t>
        </w:r>
      </w:hyperlink>
      <w:r w:rsidRPr="00B57F20">
        <w:rPr>
          <w:rStyle w:val="nowrap"/>
          <w:rFonts w:ascii="Times New Roman" w:hAnsi="Times New Roman"/>
          <w:sz w:val="24"/>
          <w:szCs w:val="24"/>
          <w:shd w:val="clear" w:color="auto" w:fill="FFFFFF"/>
        </w:rPr>
        <w:t>]</w:t>
      </w:r>
    </w:p>
    <w:p w:rsidR="003B49E4" w:rsidRPr="00B57F20" w:rsidRDefault="003B49E4" w:rsidP="004D37B4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val="en-US" w:eastAsia="ru-RU"/>
        </w:rPr>
      </w:pPr>
      <w:r w:rsidRPr="00B57F20">
        <w:rPr>
          <w:rFonts w:ascii="Times New Roman" w:eastAsia="Times New Roman" w:hAnsi="Times New Roman"/>
          <w:bCs/>
          <w:kern w:val="36"/>
          <w:sz w:val="24"/>
          <w:szCs w:val="24"/>
          <w:lang w:val="en-US" w:eastAsia="ru-RU"/>
        </w:rPr>
        <w:t>Gisbert JP. Helicobacter pylori-related diseases. Gastroenterol Hepatol.</w:t>
      </w:r>
      <w:r w:rsidRPr="00B57F2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2016 Sep;39 Suppl 1:36-46. doi: 10.1016/S0210-5705(16)30173-X.</w:t>
      </w:r>
    </w:p>
    <w:p w:rsidR="008F7C68" w:rsidRPr="00B57F20" w:rsidRDefault="008F7C68" w:rsidP="004D37B4">
      <w:pPr>
        <w:shd w:val="clear" w:color="auto" w:fill="FFFFFF"/>
        <w:spacing w:after="0" w:line="360" w:lineRule="auto"/>
        <w:rPr>
          <w:rStyle w:val="nowrap"/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AF6B4E" w:rsidRPr="00ED716A" w:rsidRDefault="00AF6B4E" w:rsidP="000D5A5E">
      <w:pPr>
        <w:shd w:val="clear" w:color="auto" w:fill="FFFFFF"/>
        <w:spacing w:after="0" w:line="360" w:lineRule="auto"/>
        <w:rPr>
          <w:rStyle w:val="nowrap"/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AF6B4E" w:rsidRPr="00ED716A" w:rsidRDefault="00AF6B4E" w:rsidP="000D5A5E">
      <w:pPr>
        <w:shd w:val="clear" w:color="auto" w:fill="FFFFFF"/>
        <w:spacing w:after="0" w:line="360" w:lineRule="auto"/>
        <w:rPr>
          <w:rStyle w:val="nowrap"/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AF6B4E" w:rsidRPr="00ED716A" w:rsidRDefault="00AF6B4E" w:rsidP="000D5A5E">
      <w:pPr>
        <w:shd w:val="clear" w:color="auto" w:fill="FFFFFF"/>
        <w:spacing w:after="0" w:line="360" w:lineRule="auto"/>
        <w:rPr>
          <w:rStyle w:val="nowrap"/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AF6B4E" w:rsidRPr="00ED716A" w:rsidRDefault="00AF6B4E" w:rsidP="000D5A5E">
      <w:pPr>
        <w:shd w:val="clear" w:color="auto" w:fill="FFFFFF"/>
        <w:spacing w:after="0" w:line="360" w:lineRule="auto"/>
        <w:rPr>
          <w:rStyle w:val="nowrap"/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AF6B4E" w:rsidRPr="00ED716A" w:rsidRDefault="00AF6B4E" w:rsidP="000D5A5E">
      <w:pPr>
        <w:shd w:val="clear" w:color="auto" w:fill="FFFFFF"/>
        <w:spacing w:after="0" w:line="360" w:lineRule="auto"/>
        <w:rPr>
          <w:rStyle w:val="nowrap"/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AF6B4E" w:rsidRPr="00ED716A" w:rsidRDefault="00AF6B4E" w:rsidP="000D5A5E">
      <w:pPr>
        <w:shd w:val="clear" w:color="auto" w:fill="FFFFFF"/>
        <w:spacing w:after="0" w:line="360" w:lineRule="auto"/>
        <w:rPr>
          <w:rStyle w:val="nowrap"/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AF6B4E" w:rsidRPr="00ED716A" w:rsidRDefault="00AF6B4E" w:rsidP="000D5A5E">
      <w:pPr>
        <w:shd w:val="clear" w:color="auto" w:fill="FFFFFF"/>
        <w:spacing w:after="0" w:line="360" w:lineRule="auto"/>
        <w:rPr>
          <w:rStyle w:val="nowrap"/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AF6B4E" w:rsidRPr="00ED716A" w:rsidRDefault="00AF6B4E" w:rsidP="000D5A5E">
      <w:pPr>
        <w:shd w:val="clear" w:color="auto" w:fill="FFFFFF"/>
        <w:spacing w:after="0" w:line="360" w:lineRule="auto"/>
        <w:rPr>
          <w:rStyle w:val="nowrap"/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AF6B4E" w:rsidRPr="00ED716A" w:rsidRDefault="00AF6B4E" w:rsidP="000D5A5E">
      <w:pPr>
        <w:shd w:val="clear" w:color="auto" w:fill="FFFFFF"/>
        <w:spacing w:after="0" w:line="360" w:lineRule="auto"/>
        <w:rPr>
          <w:rStyle w:val="nowrap"/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AF6B4E" w:rsidRPr="00ED716A" w:rsidRDefault="00AF6B4E" w:rsidP="000D5A5E">
      <w:pPr>
        <w:shd w:val="clear" w:color="auto" w:fill="FFFFFF"/>
        <w:spacing w:after="0" w:line="360" w:lineRule="auto"/>
        <w:rPr>
          <w:rStyle w:val="nowrap"/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AF6B4E" w:rsidRPr="00ED716A" w:rsidRDefault="00AF6B4E" w:rsidP="000D5A5E">
      <w:pPr>
        <w:shd w:val="clear" w:color="auto" w:fill="FFFFFF"/>
        <w:spacing w:after="0" w:line="360" w:lineRule="auto"/>
        <w:rPr>
          <w:rStyle w:val="nowrap"/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AF6B4E" w:rsidRPr="00ED716A" w:rsidRDefault="00AF6B4E" w:rsidP="000D5A5E">
      <w:pPr>
        <w:shd w:val="clear" w:color="auto" w:fill="FFFFFF"/>
        <w:spacing w:after="0" w:line="360" w:lineRule="auto"/>
        <w:rPr>
          <w:rStyle w:val="nowrap"/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AF6B4E" w:rsidRPr="00ED716A" w:rsidRDefault="00AF6B4E" w:rsidP="000D5A5E">
      <w:pPr>
        <w:shd w:val="clear" w:color="auto" w:fill="FFFFFF"/>
        <w:spacing w:after="0" w:line="360" w:lineRule="auto"/>
        <w:rPr>
          <w:rStyle w:val="nowrap"/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AF6B4E" w:rsidRPr="00ED716A" w:rsidRDefault="00AF6B4E" w:rsidP="000D5A5E">
      <w:pPr>
        <w:shd w:val="clear" w:color="auto" w:fill="FFFFFF"/>
        <w:spacing w:after="0" w:line="360" w:lineRule="auto"/>
        <w:rPr>
          <w:rStyle w:val="nowrap"/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AF6B4E" w:rsidRPr="00ED716A" w:rsidRDefault="00AF6B4E" w:rsidP="000D5A5E">
      <w:pPr>
        <w:shd w:val="clear" w:color="auto" w:fill="FFFFFF"/>
        <w:spacing w:after="0" w:line="360" w:lineRule="auto"/>
        <w:rPr>
          <w:rStyle w:val="nowrap"/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AF6B4E" w:rsidRPr="00ED716A" w:rsidRDefault="00AF6B4E" w:rsidP="000D5A5E">
      <w:pPr>
        <w:shd w:val="clear" w:color="auto" w:fill="FFFFFF"/>
        <w:spacing w:after="0" w:line="360" w:lineRule="auto"/>
        <w:rPr>
          <w:rStyle w:val="nowrap"/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AF6B4E" w:rsidRPr="00ED716A" w:rsidRDefault="00AF6B4E" w:rsidP="000D5A5E">
      <w:pPr>
        <w:shd w:val="clear" w:color="auto" w:fill="FFFFFF"/>
        <w:spacing w:after="0" w:line="360" w:lineRule="auto"/>
        <w:rPr>
          <w:rStyle w:val="nowrap"/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AF6B4E" w:rsidRPr="00911A46" w:rsidRDefault="00AF6B4E" w:rsidP="004D37B4">
      <w:pPr>
        <w:shd w:val="clear" w:color="auto" w:fill="FFFFFF"/>
        <w:spacing w:after="0" w:line="360" w:lineRule="auto"/>
        <w:rPr>
          <w:rStyle w:val="nowrap"/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2086E" w:rsidRPr="00911A46" w:rsidRDefault="00F2086E" w:rsidP="004D37B4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4C6754" w:rsidRPr="00911A46" w:rsidRDefault="004C6754" w:rsidP="004D37B4">
      <w:pPr>
        <w:pStyle w:val="a3"/>
        <w:spacing w:after="0" w:line="360" w:lineRule="auto"/>
        <w:ind w:left="0"/>
        <w:jc w:val="both"/>
        <w:rPr>
          <w:rStyle w:val="refpages"/>
          <w:rFonts w:ascii="Times New Roman" w:hAnsi="Times New Roman"/>
          <w:sz w:val="24"/>
          <w:szCs w:val="24"/>
          <w:shd w:val="clear" w:color="auto" w:fill="FFFFFF"/>
          <w:lang w:val="en-US"/>
        </w:rPr>
      </w:pPr>
    </w:p>
    <w:p w:rsidR="00F62FE9" w:rsidRPr="00911A46" w:rsidRDefault="00F62FE9" w:rsidP="004D37B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sectPr w:rsidR="00F62FE9" w:rsidRPr="00911A46" w:rsidSect="009C7E3C">
      <w:footerReference w:type="default" r:id="rId12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A83" w:rsidRDefault="00800A83" w:rsidP="00706BB3">
      <w:pPr>
        <w:spacing w:after="0" w:line="240" w:lineRule="auto"/>
      </w:pPr>
      <w:r>
        <w:separator/>
      </w:r>
    </w:p>
  </w:endnote>
  <w:endnote w:type="continuationSeparator" w:id="0">
    <w:p w:rsidR="00800A83" w:rsidRDefault="00800A83" w:rsidP="00706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1897975"/>
      <w:docPartObj>
        <w:docPartGallery w:val="Page Numbers (Bottom of Page)"/>
        <w:docPartUnique/>
      </w:docPartObj>
    </w:sdtPr>
    <w:sdtContent>
      <w:p w:rsidR="00706BB3" w:rsidRDefault="00061144">
        <w:pPr>
          <w:pStyle w:val="a8"/>
          <w:jc w:val="right"/>
        </w:pPr>
        <w:r>
          <w:fldChar w:fldCharType="begin"/>
        </w:r>
        <w:r w:rsidR="00706BB3">
          <w:instrText>PAGE   \* MERGEFORMAT</w:instrText>
        </w:r>
        <w:r>
          <w:fldChar w:fldCharType="separate"/>
        </w:r>
        <w:r w:rsidR="004C78B2">
          <w:rPr>
            <w:noProof/>
          </w:rPr>
          <w:t>1</w:t>
        </w:r>
        <w:r>
          <w:fldChar w:fldCharType="end"/>
        </w:r>
      </w:p>
    </w:sdtContent>
  </w:sdt>
  <w:p w:rsidR="00706BB3" w:rsidRDefault="00706BB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A83" w:rsidRDefault="00800A83" w:rsidP="00706BB3">
      <w:pPr>
        <w:spacing w:after="0" w:line="240" w:lineRule="auto"/>
      </w:pPr>
      <w:r>
        <w:separator/>
      </w:r>
    </w:p>
  </w:footnote>
  <w:footnote w:type="continuationSeparator" w:id="0">
    <w:p w:rsidR="00800A83" w:rsidRDefault="00800A83" w:rsidP="00706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521F"/>
    <w:multiLevelType w:val="hybridMultilevel"/>
    <w:tmpl w:val="8766C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5495E"/>
    <w:multiLevelType w:val="hybridMultilevel"/>
    <w:tmpl w:val="D52A23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4063CD"/>
    <w:multiLevelType w:val="hybridMultilevel"/>
    <w:tmpl w:val="9BDE4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45ACB"/>
    <w:multiLevelType w:val="hybridMultilevel"/>
    <w:tmpl w:val="D1265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7393D"/>
    <w:multiLevelType w:val="hybridMultilevel"/>
    <w:tmpl w:val="C2E0B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17372"/>
    <w:multiLevelType w:val="hybridMultilevel"/>
    <w:tmpl w:val="79449140"/>
    <w:lvl w:ilvl="0" w:tplc="7598D75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E3C"/>
    <w:rsid w:val="0005747E"/>
    <w:rsid w:val="00061144"/>
    <w:rsid w:val="0008102C"/>
    <w:rsid w:val="000846C0"/>
    <w:rsid w:val="00095D33"/>
    <w:rsid w:val="000B4403"/>
    <w:rsid w:val="000D0A1A"/>
    <w:rsid w:val="000D5A5E"/>
    <w:rsid w:val="000F431F"/>
    <w:rsid w:val="00112F0D"/>
    <w:rsid w:val="00171E68"/>
    <w:rsid w:val="001768D3"/>
    <w:rsid w:val="00195185"/>
    <w:rsid w:val="001F1291"/>
    <w:rsid w:val="00216D1A"/>
    <w:rsid w:val="00232B36"/>
    <w:rsid w:val="00265DCA"/>
    <w:rsid w:val="00283648"/>
    <w:rsid w:val="00296EA7"/>
    <w:rsid w:val="002A54BA"/>
    <w:rsid w:val="002B7875"/>
    <w:rsid w:val="002C3A56"/>
    <w:rsid w:val="002E0239"/>
    <w:rsid w:val="00390D42"/>
    <w:rsid w:val="003A1DD7"/>
    <w:rsid w:val="003A57B3"/>
    <w:rsid w:val="003B49E4"/>
    <w:rsid w:val="003B522E"/>
    <w:rsid w:val="004213EB"/>
    <w:rsid w:val="004360FC"/>
    <w:rsid w:val="004A579A"/>
    <w:rsid w:val="004B43F0"/>
    <w:rsid w:val="004C6754"/>
    <w:rsid w:val="004C78B2"/>
    <w:rsid w:val="004D37B4"/>
    <w:rsid w:val="004D62E5"/>
    <w:rsid w:val="004F12B5"/>
    <w:rsid w:val="0053721D"/>
    <w:rsid w:val="0054742D"/>
    <w:rsid w:val="00597FFB"/>
    <w:rsid w:val="005B04C3"/>
    <w:rsid w:val="005D7A4E"/>
    <w:rsid w:val="00604F16"/>
    <w:rsid w:val="006233EB"/>
    <w:rsid w:val="006644F9"/>
    <w:rsid w:val="00706BB3"/>
    <w:rsid w:val="00725470"/>
    <w:rsid w:val="0075482E"/>
    <w:rsid w:val="00756915"/>
    <w:rsid w:val="00757CF8"/>
    <w:rsid w:val="007912C3"/>
    <w:rsid w:val="007C0778"/>
    <w:rsid w:val="007E2A19"/>
    <w:rsid w:val="00800A83"/>
    <w:rsid w:val="00816FFA"/>
    <w:rsid w:val="0082341E"/>
    <w:rsid w:val="0084514D"/>
    <w:rsid w:val="00854071"/>
    <w:rsid w:val="0085614D"/>
    <w:rsid w:val="00856B5A"/>
    <w:rsid w:val="00862936"/>
    <w:rsid w:val="0089690C"/>
    <w:rsid w:val="008F7C68"/>
    <w:rsid w:val="0090282E"/>
    <w:rsid w:val="00911A46"/>
    <w:rsid w:val="00914C8A"/>
    <w:rsid w:val="00916F76"/>
    <w:rsid w:val="00921CB5"/>
    <w:rsid w:val="00922416"/>
    <w:rsid w:val="00935D41"/>
    <w:rsid w:val="009734C0"/>
    <w:rsid w:val="009B5ED3"/>
    <w:rsid w:val="009B7B3C"/>
    <w:rsid w:val="009C7E3C"/>
    <w:rsid w:val="00A02E56"/>
    <w:rsid w:val="00A10440"/>
    <w:rsid w:val="00A314D6"/>
    <w:rsid w:val="00AA2E51"/>
    <w:rsid w:val="00AB1F62"/>
    <w:rsid w:val="00AC440B"/>
    <w:rsid w:val="00AF6B4E"/>
    <w:rsid w:val="00B45386"/>
    <w:rsid w:val="00B57F20"/>
    <w:rsid w:val="00BD5268"/>
    <w:rsid w:val="00BD6FF9"/>
    <w:rsid w:val="00C5291F"/>
    <w:rsid w:val="00C96261"/>
    <w:rsid w:val="00CA4F2A"/>
    <w:rsid w:val="00CA73D3"/>
    <w:rsid w:val="00CF54F6"/>
    <w:rsid w:val="00D042D1"/>
    <w:rsid w:val="00D232CD"/>
    <w:rsid w:val="00D24DBF"/>
    <w:rsid w:val="00E3061C"/>
    <w:rsid w:val="00E30E41"/>
    <w:rsid w:val="00EA033A"/>
    <w:rsid w:val="00EC5AD7"/>
    <w:rsid w:val="00ED716A"/>
    <w:rsid w:val="00EE5633"/>
    <w:rsid w:val="00F2086E"/>
    <w:rsid w:val="00F2330E"/>
    <w:rsid w:val="00F62FE9"/>
    <w:rsid w:val="00F66273"/>
    <w:rsid w:val="00F7618E"/>
    <w:rsid w:val="00F7635F"/>
    <w:rsid w:val="00FA4EC6"/>
    <w:rsid w:val="00FB4C50"/>
    <w:rsid w:val="00FF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3C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028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E3C"/>
    <w:pPr>
      <w:ind w:left="720"/>
      <w:contextualSpacing/>
    </w:pPr>
  </w:style>
  <w:style w:type="character" w:customStyle="1" w:styleId="hps">
    <w:name w:val="hps"/>
    <w:basedOn w:val="a0"/>
    <w:rsid w:val="009C7E3C"/>
    <w:rPr>
      <w:rFonts w:cs="Times New Roman"/>
    </w:rPr>
  </w:style>
  <w:style w:type="character" w:customStyle="1" w:styleId="b-mail-personemailtext">
    <w:name w:val="b-mail-person__email__text"/>
    <w:basedOn w:val="a0"/>
    <w:rsid w:val="009C7E3C"/>
  </w:style>
  <w:style w:type="character" w:customStyle="1" w:styleId="apple-converted-space">
    <w:name w:val="apple-converted-space"/>
    <w:basedOn w:val="a0"/>
    <w:rsid w:val="00725470"/>
  </w:style>
  <w:style w:type="character" w:customStyle="1" w:styleId="ref-journal">
    <w:name w:val="ref-journal"/>
    <w:basedOn w:val="a0"/>
    <w:rsid w:val="00725470"/>
  </w:style>
  <w:style w:type="character" w:customStyle="1" w:styleId="ref-vol">
    <w:name w:val="ref-vol"/>
    <w:basedOn w:val="a0"/>
    <w:rsid w:val="00725470"/>
  </w:style>
  <w:style w:type="character" w:customStyle="1" w:styleId="nowrap">
    <w:name w:val="nowrap"/>
    <w:basedOn w:val="a0"/>
    <w:rsid w:val="00725470"/>
  </w:style>
  <w:style w:type="character" w:styleId="a4">
    <w:name w:val="Hyperlink"/>
    <w:basedOn w:val="a0"/>
    <w:uiPriority w:val="99"/>
    <w:semiHidden/>
    <w:unhideWhenUsed/>
    <w:rsid w:val="00725470"/>
    <w:rPr>
      <w:color w:val="0000FF"/>
      <w:u w:val="single"/>
    </w:rPr>
  </w:style>
  <w:style w:type="character" w:customStyle="1" w:styleId="refauthors">
    <w:name w:val="refauthors"/>
    <w:basedOn w:val="a0"/>
    <w:rsid w:val="00816FFA"/>
  </w:style>
  <w:style w:type="character" w:customStyle="1" w:styleId="reftitle">
    <w:name w:val="reftitle"/>
    <w:basedOn w:val="a0"/>
    <w:rsid w:val="00816FFA"/>
  </w:style>
  <w:style w:type="character" w:styleId="a5">
    <w:name w:val="Emphasis"/>
    <w:basedOn w:val="a0"/>
    <w:uiPriority w:val="20"/>
    <w:qFormat/>
    <w:rsid w:val="00816FFA"/>
    <w:rPr>
      <w:i/>
      <w:iCs/>
    </w:rPr>
  </w:style>
  <w:style w:type="character" w:customStyle="1" w:styleId="refseriestitle">
    <w:name w:val="refseriestitle"/>
    <w:basedOn w:val="a0"/>
    <w:rsid w:val="00816FFA"/>
  </w:style>
  <w:style w:type="character" w:customStyle="1" w:styleId="refseriesdate">
    <w:name w:val="refseriesdate"/>
    <w:basedOn w:val="a0"/>
    <w:rsid w:val="00816FFA"/>
  </w:style>
  <w:style w:type="character" w:customStyle="1" w:styleId="refseriesvolume">
    <w:name w:val="refseriesvolume"/>
    <w:basedOn w:val="a0"/>
    <w:rsid w:val="00816FFA"/>
  </w:style>
  <w:style w:type="character" w:customStyle="1" w:styleId="refpages">
    <w:name w:val="refpages"/>
    <w:basedOn w:val="a0"/>
    <w:rsid w:val="00816FFA"/>
  </w:style>
  <w:style w:type="paragraph" w:customStyle="1" w:styleId="desc">
    <w:name w:val="desc"/>
    <w:basedOn w:val="a"/>
    <w:rsid w:val="00AB1F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tails">
    <w:name w:val="details"/>
    <w:basedOn w:val="a"/>
    <w:rsid w:val="00AB1F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rnl">
    <w:name w:val="jrnl"/>
    <w:basedOn w:val="a0"/>
    <w:rsid w:val="00AB1F62"/>
  </w:style>
  <w:style w:type="character" w:customStyle="1" w:styleId="citation-publication-date">
    <w:name w:val="citation-publication-date"/>
    <w:basedOn w:val="a0"/>
    <w:rsid w:val="001768D3"/>
  </w:style>
  <w:style w:type="character" w:customStyle="1" w:styleId="doi">
    <w:name w:val="doi"/>
    <w:basedOn w:val="a0"/>
    <w:rsid w:val="001768D3"/>
  </w:style>
  <w:style w:type="paragraph" w:styleId="2">
    <w:name w:val="Body Text 2"/>
    <w:basedOn w:val="a"/>
    <w:link w:val="20"/>
    <w:rsid w:val="005B04C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B04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28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ighlight">
    <w:name w:val="highlight"/>
    <w:basedOn w:val="a0"/>
    <w:rsid w:val="0090282E"/>
  </w:style>
  <w:style w:type="paragraph" w:styleId="a6">
    <w:name w:val="header"/>
    <w:basedOn w:val="a"/>
    <w:link w:val="a7"/>
    <w:uiPriority w:val="99"/>
    <w:unhideWhenUsed/>
    <w:rsid w:val="00706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6BB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06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6BB3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D5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5A5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113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bi.nlm.nih.gov/pubmed/22314565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www.ncbi.nlm.nih.gov/pubmed/207369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27531531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90;&#1072;&#1083;&#1100;&#1103;\Desktop\&#1053;&#1072;&#1090;&#1072;&#1083;&#1100;&#1103;\&#1053;&#1072;&#1090;&#1072;%20&#1085;&#1072;&#1091;&#1082;&#1072;\&#1057;&#1077;&#1074;&#1077;&#1088;&#1085;&#1072;&#1103;%20&#1079;&#1074;&#1077;&#1079;&#1076;&#1072;\&#1056;&#1072;&#1073;&#1077;&#1087;&#1088;&#1072;&#1079;&#1086;&#1083;_&#1088;&#1086;&#1079;&#1091;&#1074;&#1072;&#1089;&#1090;&#1072;&#1090;&#1080;&#1085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&#1053;&#1072;&#1090;&#1072;&#1083;&#1100;&#1103;\Desktop\&#1053;&#1072;&#1090;&#1072;&#1083;&#1100;&#1103;\&#1053;&#1072;&#1090;&#1072;%20&#1085;&#1072;&#1091;&#1082;&#1072;\&#1057;&#1077;&#1074;&#1077;&#1088;&#1085;&#1072;&#1103;%20&#1079;&#1074;&#1077;&#1079;&#1076;&#1072;\&#1056;&#1072;&#1073;&#1077;&#1087;&#1088;&#1072;&#1079;&#1086;&#1083;_&#1088;&#1086;&#1079;&#1091;&#1074;&#1072;&#1089;&#1090;&#1072;&#1090;&#1080;&#108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title>
      <c:tx>
        <c:rich>
          <a:bodyPr/>
          <a:lstStyle/>
          <a:p>
            <a:pPr>
              <a:defRPr/>
            </a:pPr>
            <a:r>
              <a:rPr lang="ru-RU" sz="1200" baseline="0"/>
              <a:t>Динамика клинических проявлений в группах сравнения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0.22292531615366276"/>
          <c:y val="0.17334217433347146"/>
          <c:w val="0.73636446629942065"/>
          <c:h val="0.41994032324906855"/>
        </c:manualLayout>
      </c:layout>
      <c:bar3DChart>
        <c:barDir val="col"/>
        <c:grouping val="clustered"/>
        <c:ser>
          <c:idx val="0"/>
          <c:order val="0"/>
          <c:tx>
            <c:v>до лечения</c:v>
          </c:tx>
          <c:cat>
            <c:strRef>
              <c:f>Лист1!$A$2:$A$7</c:f>
              <c:strCache>
                <c:ptCount val="6"/>
                <c:pt idx="0">
                  <c:v>боль/дискомфорт в эпигастрии</c:v>
                </c:pt>
                <c:pt idx="1">
                  <c:v>изжога</c:v>
                </c:pt>
                <c:pt idx="2">
                  <c:v>тошнота</c:v>
                </c:pt>
                <c:pt idx="3">
                  <c:v>рвота</c:v>
                </c:pt>
                <c:pt idx="4">
                  <c:v>отрыжка </c:v>
                </c:pt>
                <c:pt idx="5">
                  <c:v>нарушение стула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1</c:v>
                </c:pt>
                <c:pt idx="1">
                  <c:v>0.25</c:v>
                </c:pt>
                <c:pt idx="2" formatCode="0.00%">
                  <c:v>0.31700000000000045</c:v>
                </c:pt>
                <c:pt idx="3" formatCode="0.00%">
                  <c:v>6.700000000000006E-2</c:v>
                </c:pt>
                <c:pt idx="4" formatCode="0.00%">
                  <c:v>0.38300000000000045</c:v>
                </c:pt>
                <c:pt idx="5">
                  <c:v>0.4</c:v>
                </c:pt>
              </c:numCache>
            </c:numRef>
          </c:val>
        </c:ser>
        <c:ser>
          <c:idx val="1"/>
          <c:order val="1"/>
          <c:tx>
            <c:v>1 гр после эрадикации</c:v>
          </c:tx>
          <c:cat>
            <c:strRef>
              <c:f>Лист1!$A$2:$A$7</c:f>
              <c:strCache>
                <c:ptCount val="6"/>
                <c:pt idx="0">
                  <c:v>боль/дискомфорт в эпигастрии</c:v>
                </c:pt>
                <c:pt idx="1">
                  <c:v>изжога</c:v>
                </c:pt>
                <c:pt idx="2">
                  <c:v>тошнота</c:v>
                </c:pt>
                <c:pt idx="3">
                  <c:v>рвота</c:v>
                </c:pt>
                <c:pt idx="4">
                  <c:v>отрыжка </c:v>
                </c:pt>
                <c:pt idx="5">
                  <c:v>нарушение стула</c:v>
                </c:pt>
              </c:strCache>
            </c:strRef>
          </c:cat>
          <c:val>
            <c:numRef>
              <c:f>Лист1!$C$2:$C$7</c:f>
              <c:numCache>
                <c:formatCode>0.00%</c:formatCode>
                <c:ptCount val="6"/>
                <c:pt idx="0">
                  <c:v>8.3000000000000074E-2</c:v>
                </c:pt>
                <c:pt idx="1">
                  <c:v>6.700000000000006E-2</c:v>
                </c:pt>
                <c:pt idx="2">
                  <c:v>8.3000000000000074E-2</c:v>
                </c:pt>
                <c:pt idx="3" formatCode="General">
                  <c:v>0</c:v>
                </c:pt>
                <c:pt idx="4" formatCode="0%">
                  <c:v>3.0000000000000027E-2</c:v>
                </c:pt>
                <c:pt idx="5">
                  <c:v>8.3000000000000074E-2</c:v>
                </c:pt>
              </c:numCache>
            </c:numRef>
          </c:val>
        </c:ser>
        <c:ser>
          <c:idx val="2"/>
          <c:order val="2"/>
          <c:tx>
            <c:v>2 гр после эрадикации</c:v>
          </c:tx>
          <c:cat>
            <c:strRef>
              <c:f>Лист1!$A$2:$A$7</c:f>
              <c:strCache>
                <c:ptCount val="6"/>
                <c:pt idx="0">
                  <c:v>боль/дискомфорт в эпигастрии</c:v>
                </c:pt>
                <c:pt idx="1">
                  <c:v>изжога</c:v>
                </c:pt>
                <c:pt idx="2">
                  <c:v>тошнота</c:v>
                </c:pt>
                <c:pt idx="3">
                  <c:v>рвота</c:v>
                </c:pt>
                <c:pt idx="4">
                  <c:v>отрыжка </c:v>
                </c:pt>
                <c:pt idx="5">
                  <c:v>нарушение стула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 formatCode="0.00%">
                  <c:v>6.700000000000006E-2</c:v>
                </c:pt>
                <c:pt idx="1">
                  <c:v>5.0000000000000031E-2</c:v>
                </c:pt>
                <c:pt idx="2">
                  <c:v>5.0000000000000031E-2</c:v>
                </c:pt>
                <c:pt idx="3" formatCode="General">
                  <c:v>0</c:v>
                </c:pt>
                <c:pt idx="4">
                  <c:v>3.0000000000000027E-2</c:v>
                </c:pt>
                <c:pt idx="5" formatCode="0.00%">
                  <c:v>6.700000000000006E-2</c:v>
                </c:pt>
              </c:numCache>
            </c:numRef>
          </c:val>
        </c:ser>
        <c:shape val="box"/>
        <c:axId val="106012032"/>
        <c:axId val="106030208"/>
        <c:axId val="0"/>
      </c:bar3DChart>
      <c:catAx>
        <c:axId val="106012032"/>
        <c:scaling>
          <c:orientation val="minMax"/>
        </c:scaling>
        <c:axPos val="b"/>
        <c:tickLblPos val="nextTo"/>
        <c:crossAx val="106030208"/>
        <c:crosses val="autoZero"/>
        <c:auto val="1"/>
        <c:lblAlgn val="ctr"/>
        <c:lblOffset val="100"/>
      </c:catAx>
      <c:valAx>
        <c:axId val="106030208"/>
        <c:scaling>
          <c:orientation val="minMax"/>
        </c:scaling>
        <c:axPos val="l"/>
        <c:majorGridlines/>
        <c:numFmt formatCode="0%" sourceLinked="1"/>
        <c:tickLblPos val="nextTo"/>
        <c:crossAx val="1060120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2687871525940876"/>
          <c:y val="0.77377400193396861"/>
          <c:w val="0.26491429870040634"/>
          <c:h val="0.19034645669291372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2"/>
  <c:chart>
    <c:title>
      <c:tx>
        <c:rich>
          <a:bodyPr/>
          <a:lstStyle/>
          <a:p>
            <a:pPr>
              <a:defRPr/>
            </a:pPr>
            <a:r>
              <a:rPr lang="ru-RU" sz="1200" baseline="0"/>
              <a:t>Эффективность эрадикационной терапии </a:t>
            </a:r>
          </a:p>
          <a:p>
            <a:pPr>
              <a:defRPr/>
            </a:pPr>
            <a:r>
              <a:rPr lang="ru-RU" sz="1200" baseline="0"/>
              <a:t>в группах сравнения</a:t>
            </a:r>
          </a:p>
        </c:rich>
      </c:tx>
      <c:layout>
        <c:manualLayout>
          <c:xMode val="edge"/>
          <c:yMode val="edge"/>
          <c:x val="0.14650000000000021"/>
          <c:y val="0"/>
        </c:manualLayout>
      </c:layout>
    </c:title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Лист1!$G$13</c:f>
              <c:strCache>
                <c:ptCount val="1"/>
                <c:pt idx="0">
                  <c:v>H. pylori 
до лечения</c:v>
                </c:pt>
              </c:strCache>
            </c:strRef>
          </c:tx>
          <c:spPr>
            <a:solidFill>
              <a:srgbClr val="C00000"/>
            </a:solidFill>
          </c:spPr>
          <c:cat>
            <c:strRef>
              <c:f>Лист1!$F$14:$F$15</c:f>
              <c:strCache>
                <c:ptCount val="2"/>
                <c:pt idx="0">
                  <c:v>1 гр Рабепразол-сЗ</c:v>
                </c:pt>
                <c:pt idx="1">
                  <c:v>2 гр Париет-N</c:v>
                </c:pt>
              </c:strCache>
            </c:strRef>
          </c:cat>
          <c:val>
            <c:numRef>
              <c:f>Лист1!$G$14:$G$15</c:f>
              <c:numCache>
                <c:formatCode>General</c:formatCode>
                <c:ptCount val="2"/>
                <c:pt idx="0">
                  <c:v>30</c:v>
                </c:pt>
                <c:pt idx="1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Лист1!$H$13</c:f>
              <c:strCache>
                <c:ptCount val="1"/>
                <c:pt idx="0">
                  <c:v>H. pylori 
после эрадикации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effectLst>
              <a:outerShdw blurRad="40000" dist="23000" dir="5400000" rotWithShape="0">
                <a:schemeClr val="accent3">
                  <a:lumMod val="50000"/>
                  <a:alpha val="35000"/>
                </a:scheme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cat>
            <c:strRef>
              <c:f>Лист1!$F$14:$F$15</c:f>
              <c:strCache>
                <c:ptCount val="2"/>
                <c:pt idx="0">
                  <c:v>1 гр Рабепразол-сЗ</c:v>
                </c:pt>
                <c:pt idx="1">
                  <c:v>2 гр Париет-N</c:v>
                </c:pt>
              </c:strCache>
            </c:strRef>
          </c:cat>
          <c:val>
            <c:numRef>
              <c:f>Лист1!$H$14:$H$15</c:f>
              <c:numCache>
                <c:formatCode>General</c:formatCode>
                <c:ptCount val="2"/>
                <c:pt idx="0">
                  <c:v>4</c:v>
                </c:pt>
                <c:pt idx="1">
                  <c:v>2</c:v>
                </c:pt>
              </c:numCache>
            </c:numRef>
          </c:val>
        </c:ser>
        <c:shape val="cylinder"/>
        <c:axId val="105928576"/>
        <c:axId val="105930112"/>
        <c:axId val="0"/>
      </c:bar3DChart>
      <c:catAx>
        <c:axId val="105928576"/>
        <c:scaling>
          <c:orientation val="minMax"/>
        </c:scaling>
        <c:axPos val="l"/>
        <c:tickLblPos val="nextTo"/>
        <c:crossAx val="105930112"/>
        <c:crosses val="autoZero"/>
        <c:auto val="1"/>
        <c:lblAlgn val="ctr"/>
        <c:lblOffset val="100"/>
      </c:catAx>
      <c:valAx>
        <c:axId val="105930112"/>
        <c:scaling>
          <c:orientation val="minMax"/>
        </c:scaling>
        <c:axPos val="b"/>
        <c:majorGridlines>
          <c:spPr>
            <a:ln>
              <a:solidFill>
                <a:schemeClr val="accent1"/>
              </a:solidFill>
            </a:ln>
          </c:spPr>
        </c:majorGridlines>
        <c:numFmt formatCode="General" sourceLinked="1"/>
        <c:tickLblPos val="nextTo"/>
        <c:crossAx val="1059285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90290901137375"/>
          <c:y val="0.5225288884344006"/>
          <c:w val="0.26430424321959811"/>
          <c:h val="0.26117598936496683"/>
        </c:manualLayout>
      </c:layout>
    </c:legend>
    <c:plotVisOnly val="1"/>
  </c:chart>
  <c:externalData r:id="rId1"/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0.37917</cdr:x>
      <cdr:y>0.39573</cdr:y>
    </cdr:from>
    <cdr:to>
      <cdr:x>0.57917</cdr:x>
      <cdr:y>0.50684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32780" y="1162829"/>
          <a:ext cx="1124973" cy="3264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>
              <a:latin typeface="+mn-lt"/>
              <a:ea typeface="+mn-ea"/>
              <a:cs typeface="+mn-cs"/>
            </a:rPr>
            <a:t>H</a:t>
          </a:r>
          <a:r>
            <a:rPr lang="ru-RU" sz="1100">
              <a:latin typeface="+mn-lt"/>
              <a:ea typeface="+mn-ea"/>
              <a:cs typeface="+mn-cs"/>
            </a:rPr>
            <a:t>. </a:t>
          </a:r>
          <a:r>
            <a:rPr lang="en-US" sz="1100">
              <a:latin typeface="+mn-lt"/>
              <a:ea typeface="+mn-ea"/>
              <a:cs typeface="+mn-cs"/>
            </a:rPr>
            <a:t>pylori </a:t>
          </a:r>
          <a:endParaRPr lang="ru-RU" sz="1100"/>
        </a:p>
      </cdr:txBody>
    </cdr:sp>
  </cdr:relSizeAnchor>
  <cdr:relSizeAnchor xmlns:cdr="http://schemas.openxmlformats.org/drawingml/2006/chartDrawing">
    <cdr:from>
      <cdr:x>0.47708</cdr:x>
      <cdr:y>0.66667</cdr:y>
    </cdr:from>
    <cdr:to>
      <cdr:x>0.67708</cdr:x>
      <cdr:y>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181225" y="201930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0.38333</cdr:x>
      <cdr:y>0.69444</cdr:y>
    </cdr:from>
    <cdr:to>
      <cdr:x>0.58333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752600" y="1905000"/>
          <a:ext cx="914400" cy="838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>
              <a:latin typeface="+mn-lt"/>
              <a:ea typeface="+mn-ea"/>
              <a:cs typeface="+mn-cs"/>
            </a:rPr>
            <a:t>H</a:t>
          </a:r>
          <a:r>
            <a:rPr lang="ru-RU" sz="1100">
              <a:latin typeface="+mn-lt"/>
              <a:ea typeface="+mn-ea"/>
              <a:cs typeface="+mn-cs"/>
            </a:rPr>
            <a:t>. </a:t>
          </a:r>
          <a:r>
            <a:rPr lang="en-US" sz="1100">
              <a:latin typeface="+mn-lt"/>
              <a:ea typeface="+mn-ea"/>
              <a:cs typeface="+mn-cs"/>
            </a:rPr>
            <a:t>pylori </a:t>
          </a:r>
          <a:endParaRPr lang="ru-RU" sz="1100"/>
        </a:p>
      </cdr:txBody>
    </cdr:sp>
  </cdr:relSizeAnchor>
  <cdr:relSizeAnchor xmlns:cdr="http://schemas.openxmlformats.org/drawingml/2006/chartDrawing">
    <cdr:from>
      <cdr:x>0.68958</cdr:x>
      <cdr:y>0.04861</cdr:y>
    </cdr:from>
    <cdr:to>
      <cdr:x>0.99722</cdr:x>
      <cdr:y>0.42072</cdr:y>
    </cdr:to>
    <cdr:pic>
      <cdr:nvPicPr>
        <cdr:cNvPr id="5" name="Picture 6"/>
        <cdr:cNvPicPr>
          <a:picLocks xmlns:a="http://schemas.openxmlformats.org/drawingml/2006/main" noChangeAspect="1" noChangeArrowheads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="" xmlns:p="http://schemas.openxmlformats.org/presentationml/2006/main" xmlns:a14="http://schemas.microsoft.com/office/drawing/2010/main" xmlns:lc="http://schemas.openxmlformats.org/drawingml/2006/lockedCanvas" val="0"/>
            </a:ext>
          </a:extLst>
        </a:blip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 rot="-1762867">
          <a:off x="3152775" y="133349"/>
          <a:ext cx="1406525" cy="102076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="" xmlns:r="http://schemas.openxmlformats.org/officeDocument/2006/relationships" xmlns:p="http://schemas.openxmlformats.org/presentationml/2006/main" xmlns:a14="http://schemas.microsoft.com/office/drawing/2010/main" xmlns:lc="http://schemas.openxmlformats.org/drawingml/2006/lockedCanvas">
              <a:solidFill>
                <a:srgbClr val="FFFFFF"/>
              </a:solidFill>
            </a14:hiddenFill>
          </a:ext>
          <a:ext uri="{91240B29-F687-4F45-9708-019B960494DF}">
            <a14:hiddenLine xmlns="" xmlns:r="http://schemas.openxmlformats.org/officeDocument/2006/relationships" xmlns:p="http://schemas.openxmlformats.org/presentationml/2006/main" xmlns:a14="http://schemas.microsoft.com/office/drawing/2010/main" xmlns:lc="http://schemas.openxmlformats.org/drawingml/2006/lockedCanvas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9</Pages>
  <Words>2226</Words>
  <Characters>12693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TCHER</cp:lastModifiedBy>
  <cp:revision>22</cp:revision>
  <dcterms:created xsi:type="dcterms:W3CDTF">2017-03-22T05:44:00Z</dcterms:created>
  <dcterms:modified xsi:type="dcterms:W3CDTF">2017-03-23T06:48:00Z</dcterms:modified>
</cp:coreProperties>
</file>