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AD" w:rsidRDefault="00853958">
      <w:pPr>
        <w:pStyle w:val="A6"/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Гамидов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Попова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Шатылко</w:t>
      </w:r>
    </w:p>
    <w:p w:rsidR="004774AD" w:rsidRDefault="004774AD">
      <w:pPr>
        <w:pStyle w:val="A6"/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4AD" w:rsidRDefault="00853958">
      <w:pPr>
        <w:pStyle w:val="A6"/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Оценка эффективности и безопасности дапоксетина</w:t>
      </w:r>
      <w:r w:rsidR="000947A6">
        <w:rPr>
          <w:rFonts w:ascii="Times New Roman" w:hAnsi="Times New Roman"/>
          <w:b/>
          <w:bCs/>
          <w:sz w:val="28"/>
          <w:szCs w:val="28"/>
        </w:rPr>
        <w:t xml:space="preserve"> (Дапоксетин-СЗ</w:t>
      </w:r>
      <w:r w:rsidR="000947A6" w:rsidRPr="000947A6">
        <w:rPr>
          <w:rFonts w:ascii="Times New Roman" w:hAnsi="Times New Roman"/>
          <w:b/>
          <w:bCs/>
          <w:sz w:val="28"/>
          <w:szCs w:val="28"/>
        </w:rPr>
        <w:t>,</w:t>
      </w:r>
      <w:r w:rsidR="000947A6">
        <w:rPr>
          <w:rFonts w:ascii="Times New Roman" w:hAnsi="Times New Roman"/>
          <w:b/>
          <w:bCs/>
          <w:sz w:val="28"/>
          <w:szCs w:val="28"/>
        </w:rPr>
        <w:t xml:space="preserve"> производство НАО «Северная звезда»</w:t>
      </w:r>
      <w:r w:rsidR="000947A6" w:rsidRPr="000947A6">
        <w:rPr>
          <w:rFonts w:ascii="Times New Roman" w:hAnsi="Times New Roman"/>
          <w:b/>
          <w:bCs/>
          <w:sz w:val="28"/>
          <w:szCs w:val="28"/>
        </w:rPr>
        <w:t>,</w:t>
      </w:r>
      <w:r w:rsidR="000947A6">
        <w:rPr>
          <w:rFonts w:ascii="Times New Roman" w:hAnsi="Times New Roman"/>
          <w:b/>
          <w:bCs/>
          <w:sz w:val="28"/>
          <w:szCs w:val="28"/>
        </w:rPr>
        <w:t xml:space="preserve"> Россия)</w:t>
      </w:r>
      <w:r>
        <w:rPr>
          <w:rFonts w:ascii="Times New Roman" w:hAnsi="Times New Roman"/>
          <w:b/>
          <w:bCs/>
          <w:sz w:val="28"/>
          <w:szCs w:val="28"/>
        </w:rPr>
        <w:t xml:space="preserve"> при первичной и вторичной формах преждевременной эякуляции</w:t>
      </w:r>
    </w:p>
    <w:p w:rsidR="004774AD" w:rsidRDefault="004774AD">
      <w:pPr>
        <w:pStyle w:val="A6"/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74AD" w:rsidRDefault="00853958">
      <w:pPr>
        <w:pStyle w:val="A6"/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учреждение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Национальный медицинский исследовательский центр </w:t>
      </w:r>
      <w:r>
        <w:rPr>
          <w:rFonts w:ascii="Times New Roman" w:hAnsi="Times New Roman"/>
          <w:sz w:val="28"/>
          <w:szCs w:val="28"/>
        </w:rPr>
        <w:t>акушерства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гинекологии и перинатологии имени академика 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Кулакова» Министерства здравоохранения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отделение андрологии и урологии</w:t>
      </w:r>
    </w:p>
    <w:p w:rsidR="004774AD" w:rsidRDefault="004774AD">
      <w:pPr>
        <w:pStyle w:val="A6"/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Преждевременная эякуляция – один из самых распространённых вариантов сексуальной дисфункции у мужчин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47A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Saitz</w:t>
      </w:r>
      <w:r w:rsidRPr="000947A6">
        <w:rPr>
          <w:rFonts w:ascii="Times New Roman" w:hAnsi="Times New Roman"/>
          <w:sz w:val="28"/>
          <w:szCs w:val="28"/>
        </w:rPr>
        <w:t xml:space="preserve"> &amp; </w:t>
      </w:r>
      <w:r>
        <w:rPr>
          <w:rFonts w:ascii="Times New Roman" w:hAnsi="Times New Roman"/>
          <w:sz w:val="28"/>
          <w:szCs w:val="28"/>
          <w:lang w:val="en-US"/>
        </w:rPr>
        <w:t>Serefoglu</w:t>
      </w:r>
      <w:r w:rsidRPr="000947A6">
        <w:rPr>
          <w:rFonts w:ascii="Times New Roman" w:hAnsi="Times New Roman"/>
          <w:sz w:val="28"/>
          <w:szCs w:val="28"/>
        </w:rPr>
        <w:t xml:space="preserve">, 2016] </w:t>
      </w:r>
      <w:r>
        <w:rPr>
          <w:rFonts w:ascii="Times New Roman" w:hAnsi="Times New Roman"/>
          <w:sz w:val="28"/>
          <w:szCs w:val="28"/>
        </w:rPr>
        <w:t>На протяжении длительного времени урологи и сексологи пользовались различными критериями диагностики преждевременной эякуляции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в конце концов Международным обществом сексуальной медицины было выработано единое определение дл</w:t>
      </w:r>
      <w:r>
        <w:rPr>
          <w:rFonts w:ascii="Times New Roman" w:hAnsi="Times New Roman"/>
          <w:sz w:val="28"/>
          <w:szCs w:val="28"/>
        </w:rPr>
        <w:t>я этого синдрома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[Serefoglu et al., 2014]</w:t>
      </w:r>
      <w:r>
        <w:rPr>
          <w:rFonts w:ascii="Times New Roman" w:hAnsi="Times New Roman"/>
          <w:sz w:val="28"/>
          <w:szCs w:val="28"/>
        </w:rPr>
        <w:t xml:space="preserve"> Оно включает в себя следующие аспекты</w:t>
      </w:r>
      <w:r>
        <w:rPr>
          <w:rFonts w:ascii="Times New Roman" w:hAnsi="Times New Roman"/>
          <w:sz w:val="28"/>
          <w:szCs w:val="28"/>
        </w:rPr>
        <w:t>:</w:t>
      </w:r>
    </w:p>
    <w:p w:rsidR="004774AD" w:rsidRDefault="00853958">
      <w:pPr>
        <w:pStyle w:val="A6"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Семяизвержение всегда или почти всегда происходит в течение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минуты после вагинальной пенетрации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первичная преждевременная эякуляция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i/>
          <w:iCs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наблюдается клинически значимое и беспокоящее пациента уменьшение латентного интервала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часто до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минут и менее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вторичная или приобретённая преждевременная эякуляция</w:t>
      </w:r>
      <w:r>
        <w:rPr>
          <w:rFonts w:ascii="Times New Roman" w:hAnsi="Times New Roman"/>
          <w:sz w:val="28"/>
          <w:szCs w:val="28"/>
        </w:rPr>
        <w:t>).</w:t>
      </w:r>
    </w:p>
    <w:p w:rsidR="004774AD" w:rsidRDefault="00853958">
      <w:pPr>
        <w:pStyle w:val="A6"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Невозможность задержать эякуляцию всегда или почти всегда после вагинальной пенетраци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4774AD" w:rsidRDefault="00853958">
      <w:pPr>
        <w:pStyle w:val="A6"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Негативные личностные последствия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такие как стресс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фрустрация и </w:t>
      </w:r>
      <w:r w:rsidRPr="000947A6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или избегание сексуальной близости</w:t>
      </w:r>
      <w:r>
        <w:rPr>
          <w:rFonts w:ascii="Times New Roman" w:hAnsi="Times New Roman"/>
          <w:sz w:val="28"/>
          <w:szCs w:val="28"/>
        </w:rPr>
        <w:t>.</w:t>
      </w: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качестве симптоматической терапии преждевременной эякуляции применяется по требованию дапоксетина гидрохлорид</w:t>
      </w:r>
      <w:r>
        <w:rPr>
          <w:rFonts w:ascii="Times New Roman" w:hAnsi="Times New Roman"/>
          <w:sz w:val="28"/>
          <w:szCs w:val="28"/>
        </w:rPr>
        <w:t>.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 относится к классу лекарственных</w:t>
      </w:r>
      <w:r>
        <w:rPr>
          <w:rFonts w:ascii="Times New Roman" w:hAnsi="Times New Roman"/>
          <w:sz w:val="28"/>
          <w:szCs w:val="28"/>
        </w:rPr>
        <w:t xml:space="preserve"> препаратов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называемых селективными ингибиторами </w:t>
      </w:r>
      <w:r>
        <w:rPr>
          <w:rFonts w:ascii="Times New Roman" w:hAnsi="Times New Roman"/>
          <w:sz w:val="28"/>
          <w:szCs w:val="28"/>
        </w:rPr>
        <w:lastRenderedPageBreak/>
        <w:t>обратного захвата серотонина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чаще всего применяются в лечении депрессии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Некоторые препараты этого класса применяются </w:t>
      </w:r>
      <w:r>
        <w:rPr>
          <w:rFonts w:ascii="Times New Roman" w:hAnsi="Times New Roman"/>
          <w:sz w:val="28"/>
          <w:szCs w:val="28"/>
          <w:lang w:val="en-US"/>
        </w:rPr>
        <w:t>off</w:t>
      </w:r>
      <w:r w:rsidRPr="000947A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label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терапии преждевременного семяизвержения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47A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Hellstrom</w:t>
      </w:r>
      <w:r w:rsidRPr="000947A6">
        <w:rPr>
          <w:rFonts w:ascii="Times New Roman" w:hAnsi="Times New Roman"/>
          <w:sz w:val="28"/>
          <w:szCs w:val="28"/>
        </w:rPr>
        <w:t xml:space="preserve">, 2009; </w:t>
      </w:r>
      <w:r>
        <w:rPr>
          <w:rFonts w:ascii="Times New Roman" w:hAnsi="Times New Roman"/>
          <w:sz w:val="28"/>
          <w:szCs w:val="28"/>
          <w:lang w:val="en-US"/>
        </w:rPr>
        <w:t>Waldin</w:t>
      </w:r>
      <w:r>
        <w:rPr>
          <w:rFonts w:ascii="Times New Roman" w:hAnsi="Times New Roman"/>
          <w:sz w:val="28"/>
          <w:szCs w:val="28"/>
          <w:lang w:val="en-US"/>
        </w:rPr>
        <w:t>ger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et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0947A6">
        <w:rPr>
          <w:rFonts w:ascii="Times New Roman" w:hAnsi="Times New Roman"/>
          <w:sz w:val="28"/>
          <w:szCs w:val="28"/>
        </w:rPr>
        <w:t xml:space="preserve">., 2004] </w:t>
      </w:r>
      <w:r>
        <w:rPr>
          <w:rFonts w:ascii="Times New Roman" w:hAnsi="Times New Roman"/>
          <w:sz w:val="28"/>
          <w:szCs w:val="28"/>
        </w:rPr>
        <w:t>Они обладают менее благоприятным фармакологическим профилем по сравнению с дапоксетином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был разработан конкретно для коррекции сексуальных нарушений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Фармакокинетические свойства этой молекулы позволяют минимизировать риск нежела</w:t>
      </w:r>
      <w:r>
        <w:rPr>
          <w:rFonts w:ascii="Times New Roman" w:hAnsi="Times New Roman"/>
          <w:sz w:val="28"/>
          <w:szCs w:val="28"/>
        </w:rPr>
        <w:t>тельных явлений и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делают возможным приём по требованию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47A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Feige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et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0947A6">
        <w:rPr>
          <w:rFonts w:ascii="Times New Roman" w:hAnsi="Times New Roman"/>
          <w:sz w:val="28"/>
          <w:szCs w:val="28"/>
        </w:rPr>
        <w:t xml:space="preserve">., 2011; </w:t>
      </w:r>
      <w:r>
        <w:rPr>
          <w:rFonts w:ascii="Times New Roman" w:hAnsi="Times New Roman"/>
          <w:sz w:val="28"/>
          <w:szCs w:val="28"/>
          <w:lang w:val="en-US"/>
        </w:rPr>
        <w:t>Thyssen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et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0947A6">
        <w:rPr>
          <w:rFonts w:ascii="Times New Roman" w:hAnsi="Times New Roman"/>
          <w:sz w:val="28"/>
          <w:szCs w:val="28"/>
        </w:rPr>
        <w:t xml:space="preserve">., 2010] </w:t>
      </w:r>
      <w:r>
        <w:rPr>
          <w:rFonts w:ascii="Times New Roman" w:hAnsi="Times New Roman"/>
          <w:sz w:val="28"/>
          <w:szCs w:val="28"/>
        </w:rPr>
        <w:t>В нескольких исследованиях оценивалась эффективность дапоксетина по сравнению с плацебо или другими лекарственными препаратами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 с классическими и</w:t>
      </w:r>
      <w:r>
        <w:rPr>
          <w:rFonts w:ascii="Times New Roman" w:hAnsi="Times New Roman"/>
          <w:sz w:val="28"/>
          <w:szCs w:val="28"/>
        </w:rPr>
        <w:t>нгибиторами обратного захвата серотонина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47A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Li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et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0947A6">
        <w:rPr>
          <w:rFonts w:ascii="Times New Roman" w:hAnsi="Times New Roman"/>
          <w:sz w:val="28"/>
          <w:szCs w:val="28"/>
        </w:rPr>
        <w:t xml:space="preserve">., 2018; </w:t>
      </w:r>
      <w:r>
        <w:rPr>
          <w:rFonts w:ascii="Times New Roman" w:hAnsi="Times New Roman"/>
          <w:sz w:val="28"/>
          <w:szCs w:val="28"/>
          <w:lang w:val="en-US"/>
        </w:rPr>
        <w:t>McMahon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et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0947A6">
        <w:rPr>
          <w:rFonts w:ascii="Times New Roman" w:hAnsi="Times New Roman"/>
          <w:sz w:val="28"/>
          <w:szCs w:val="28"/>
        </w:rPr>
        <w:t>., 2010]</w:t>
      </w:r>
      <w:r>
        <w:rPr>
          <w:rFonts w:ascii="Times New Roman" w:hAnsi="Times New Roman"/>
          <w:sz w:val="28"/>
          <w:szCs w:val="28"/>
        </w:rPr>
        <w:t xml:space="preserve"> Учитывая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патогенез первичной и вторичной преждевременной эякуляции значительно различается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можно ожидать разной эффективности дапоксетина в зависимости от вида этого</w:t>
      </w:r>
      <w:r>
        <w:rPr>
          <w:rFonts w:ascii="Times New Roman" w:hAnsi="Times New Roman"/>
          <w:sz w:val="28"/>
          <w:szCs w:val="28"/>
        </w:rPr>
        <w:t xml:space="preserve"> состояния</w:t>
      </w:r>
      <w:r>
        <w:rPr>
          <w:rFonts w:ascii="Times New Roman" w:hAnsi="Times New Roman"/>
          <w:sz w:val="28"/>
          <w:szCs w:val="28"/>
        </w:rPr>
        <w:t>.</w:t>
      </w: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Цель исследования</w:t>
      </w:r>
      <w:r>
        <w:rPr>
          <w:rFonts w:ascii="Times New Roman" w:hAnsi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сравнительная оценка эффективности и безопасности применения дапоксетина</w:t>
      </w:r>
      <w:r w:rsidR="000947A6">
        <w:rPr>
          <w:rFonts w:ascii="Times New Roman" w:hAnsi="Times New Roman"/>
          <w:sz w:val="28"/>
          <w:szCs w:val="28"/>
        </w:rPr>
        <w:t xml:space="preserve"> (Дапоксетин-СЗ</w:t>
      </w:r>
      <w:r w:rsidR="000947A6" w:rsidRPr="000947A6">
        <w:rPr>
          <w:rFonts w:ascii="Times New Roman" w:hAnsi="Times New Roman"/>
          <w:sz w:val="28"/>
          <w:szCs w:val="28"/>
        </w:rPr>
        <w:t>,</w:t>
      </w:r>
      <w:r w:rsidR="000947A6">
        <w:rPr>
          <w:rFonts w:ascii="Times New Roman" w:hAnsi="Times New Roman"/>
          <w:sz w:val="28"/>
          <w:szCs w:val="28"/>
        </w:rPr>
        <w:t xml:space="preserve"> производство  НАО «Северная звезда»</w:t>
      </w:r>
      <w:r w:rsidR="000947A6" w:rsidRPr="000947A6">
        <w:rPr>
          <w:rFonts w:ascii="Times New Roman" w:hAnsi="Times New Roman"/>
          <w:sz w:val="28"/>
          <w:szCs w:val="28"/>
        </w:rPr>
        <w:t>,</w:t>
      </w:r>
      <w:r w:rsidR="000947A6">
        <w:rPr>
          <w:rFonts w:ascii="Times New Roman" w:hAnsi="Times New Roman"/>
          <w:sz w:val="28"/>
          <w:szCs w:val="28"/>
        </w:rPr>
        <w:t xml:space="preserve"> Россия)</w:t>
      </w:r>
      <w:r>
        <w:rPr>
          <w:rFonts w:ascii="Times New Roman" w:hAnsi="Times New Roman"/>
          <w:sz w:val="28"/>
          <w:szCs w:val="28"/>
        </w:rPr>
        <w:t xml:space="preserve"> при первичной и вторичной преждевременной эякуляции</w:t>
      </w:r>
      <w:r>
        <w:rPr>
          <w:rFonts w:ascii="Times New Roman" w:hAnsi="Times New Roman"/>
          <w:sz w:val="28"/>
          <w:szCs w:val="28"/>
        </w:rPr>
        <w:t>.</w:t>
      </w: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Материалы и методы</w:t>
      </w: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исследование вошли </w:t>
      </w:r>
      <w:r>
        <w:rPr>
          <w:rFonts w:ascii="Times New Roman" w:hAnsi="Times New Roman"/>
          <w:sz w:val="28"/>
          <w:szCs w:val="28"/>
        </w:rPr>
        <w:t xml:space="preserve">60 </w:t>
      </w:r>
      <w:r>
        <w:rPr>
          <w:rFonts w:ascii="Times New Roman" w:hAnsi="Times New Roman"/>
          <w:sz w:val="28"/>
          <w:szCs w:val="28"/>
        </w:rPr>
        <w:t>пациентов с преждевременной эякуляцией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зависимости</w:t>
      </w:r>
      <w:r>
        <w:rPr>
          <w:rFonts w:ascii="Times New Roman" w:hAnsi="Times New Roman"/>
          <w:sz w:val="28"/>
          <w:szCs w:val="28"/>
        </w:rPr>
        <w:t xml:space="preserve"> от формы преждевременной эякуляции они были разделены на две группы</w:t>
      </w:r>
      <w:r>
        <w:rPr>
          <w:rFonts w:ascii="Times New Roman" w:hAnsi="Times New Roman"/>
          <w:sz w:val="28"/>
          <w:szCs w:val="28"/>
        </w:rPr>
        <w:t>:</w:t>
      </w:r>
    </w:p>
    <w:p w:rsidR="004774AD" w:rsidRDefault="00853958">
      <w:pPr>
        <w:pStyle w:val="A6"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 xml:space="preserve">1: </w:t>
      </w:r>
      <w:r>
        <w:rPr>
          <w:rFonts w:ascii="Times New Roman" w:hAnsi="Times New Roman"/>
          <w:sz w:val="28"/>
          <w:szCs w:val="28"/>
        </w:rPr>
        <w:t xml:space="preserve">пациенты с первичной преждевременной эякуляцией </w:t>
      </w:r>
      <w:r>
        <w:rPr>
          <w:rFonts w:ascii="Times New Roman" w:hAnsi="Times New Roman"/>
          <w:sz w:val="28"/>
          <w:szCs w:val="28"/>
        </w:rPr>
        <w:t xml:space="preserve">(27 </w:t>
      </w:r>
      <w:r>
        <w:rPr>
          <w:rFonts w:ascii="Times New Roman" w:hAnsi="Times New Roman"/>
          <w:sz w:val="28"/>
          <w:szCs w:val="28"/>
        </w:rPr>
        <w:t>пациентов</w:t>
      </w:r>
      <w:r>
        <w:rPr>
          <w:rFonts w:ascii="Times New Roman" w:hAnsi="Times New Roman"/>
          <w:sz w:val="28"/>
          <w:szCs w:val="28"/>
        </w:rPr>
        <w:t>).</w:t>
      </w:r>
    </w:p>
    <w:p w:rsidR="004774AD" w:rsidRDefault="00853958">
      <w:pPr>
        <w:pStyle w:val="A6"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 xml:space="preserve">2: </w:t>
      </w:r>
      <w:r>
        <w:rPr>
          <w:rFonts w:ascii="Times New Roman" w:hAnsi="Times New Roman"/>
          <w:sz w:val="28"/>
          <w:szCs w:val="28"/>
        </w:rPr>
        <w:t xml:space="preserve">пациенты с вторичной преждевременной эякуляцией </w:t>
      </w:r>
      <w:r>
        <w:rPr>
          <w:rFonts w:ascii="Times New Roman" w:hAnsi="Times New Roman"/>
          <w:sz w:val="28"/>
          <w:szCs w:val="28"/>
        </w:rPr>
        <w:t xml:space="preserve">(33 </w:t>
      </w:r>
      <w:r>
        <w:rPr>
          <w:rFonts w:ascii="Times New Roman" w:hAnsi="Times New Roman"/>
          <w:sz w:val="28"/>
          <w:szCs w:val="28"/>
        </w:rPr>
        <w:t>пациента</w:t>
      </w:r>
      <w:r>
        <w:rPr>
          <w:rFonts w:ascii="Times New Roman" w:hAnsi="Times New Roman"/>
          <w:sz w:val="28"/>
          <w:szCs w:val="28"/>
        </w:rPr>
        <w:t>).</w:t>
      </w: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После прохождения обследования</w:t>
      </w:r>
      <w:r w:rsidR="0058479F" w:rsidRPr="005847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иск</w:t>
      </w:r>
      <w:r>
        <w:rPr>
          <w:rFonts w:ascii="Times New Roman" w:hAnsi="Times New Roman"/>
          <w:sz w:val="28"/>
          <w:szCs w:val="28"/>
        </w:rPr>
        <w:t>лючения причин преждевременной эякуляции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для которых доступно этиотропное лечение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инфекции добавочных половых желёз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заболевания щитовидной железы и др</w:t>
      </w:r>
      <w:r>
        <w:rPr>
          <w:rFonts w:ascii="Times New Roman" w:hAnsi="Times New Roman"/>
          <w:sz w:val="28"/>
          <w:szCs w:val="28"/>
        </w:rPr>
        <w:t xml:space="preserve">.), </w:t>
      </w:r>
      <w:r>
        <w:rPr>
          <w:rFonts w:ascii="Times New Roman" w:hAnsi="Times New Roman"/>
          <w:sz w:val="28"/>
          <w:szCs w:val="28"/>
        </w:rPr>
        <w:t>а также других состояний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способных затруднить участие пациента в исследовании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гипогонадизм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эректильная дисфункция 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.), </w:t>
      </w:r>
      <w:r>
        <w:rPr>
          <w:rFonts w:ascii="Times New Roman" w:hAnsi="Times New Roman"/>
          <w:sz w:val="28"/>
          <w:szCs w:val="28"/>
        </w:rPr>
        <w:t>пациенту рекомендовали приём дапоксетина</w:t>
      </w:r>
      <w:r w:rsidR="000947A6">
        <w:rPr>
          <w:rFonts w:ascii="Times New Roman" w:hAnsi="Times New Roman"/>
          <w:sz w:val="28"/>
          <w:szCs w:val="28"/>
        </w:rPr>
        <w:t xml:space="preserve"> (Дапоксетин-СЗ</w:t>
      </w:r>
      <w:r w:rsidR="000947A6" w:rsidRPr="000947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 xml:space="preserve">мг за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час до </w:t>
      </w:r>
      <w:r>
        <w:rPr>
          <w:rFonts w:ascii="Times New Roman" w:hAnsi="Times New Roman"/>
          <w:sz w:val="28"/>
          <w:szCs w:val="28"/>
        </w:rPr>
        <w:lastRenderedPageBreak/>
        <w:t>полового акта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Контрольный визит назначался на день </w:t>
      </w:r>
      <w:r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после выдачи препарата</w:t>
      </w:r>
      <w:r>
        <w:rPr>
          <w:rFonts w:ascii="Times New Roman" w:hAnsi="Times New Roman"/>
          <w:sz w:val="28"/>
          <w:szCs w:val="28"/>
        </w:rPr>
        <w:t>.</w:t>
      </w: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Основными оцениваемыми результатами исследования были продолжительность вагинально</w:t>
      </w:r>
      <w:r>
        <w:rPr>
          <w:rFonts w:ascii="Times New Roman" w:hAnsi="Times New Roman"/>
          <w:sz w:val="28"/>
          <w:szCs w:val="28"/>
        </w:rPr>
        <w:t xml:space="preserve">го полового акта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ПВПА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показатель опросника «</w:t>
      </w:r>
      <w:r>
        <w:rPr>
          <w:rFonts w:ascii="Times New Roman" w:hAnsi="Times New Roman"/>
          <w:sz w:val="28"/>
          <w:szCs w:val="28"/>
          <w:lang w:val="en-US"/>
        </w:rPr>
        <w:t>Premature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ejaculation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diagnostic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tool</w:t>
      </w:r>
      <w:r>
        <w:rPr>
          <w:rFonts w:ascii="Times New Roman" w:hAnsi="Times New Roman"/>
          <w:sz w:val="28"/>
          <w:szCs w:val="28"/>
          <w:lang w:val="it-IT"/>
        </w:rPr>
        <w:t xml:space="preserve">» </w:t>
      </w:r>
      <w:r>
        <w:rPr>
          <w:rFonts w:ascii="Times New Roman" w:hAnsi="Times New Roman"/>
          <w:sz w:val="28"/>
          <w:szCs w:val="28"/>
          <w:lang w:val="pt-PT"/>
        </w:rPr>
        <w:t>(PEDT).</w:t>
      </w: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ПВПА – срок от пенетрации до эякуляции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измеряемый пациентом с помощью секундомера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ПВПА </w:t>
      </w:r>
      <w:r w:rsidR="0058479F">
        <w:rPr>
          <w:rFonts w:ascii="Times New Roman" w:hAnsi="Times New Roman"/>
          <w:sz w:val="28"/>
          <w:szCs w:val="28"/>
        </w:rPr>
        <w:t>измерялся трижды перед выдачей</w:t>
      </w:r>
      <w:r w:rsidR="00CF45FA">
        <w:rPr>
          <w:rFonts w:ascii="Times New Roman" w:hAnsi="Times New Roman"/>
          <w:sz w:val="28"/>
          <w:szCs w:val="28"/>
        </w:rPr>
        <w:t xml:space="preserve"> препарата</w:t>
      </w:r>
      <w:r w:rsidR="0058479F">
        <w:rPr>
          <w:rFonts w:ascii="Times New Roman" w:hAnsi="Times New Roman"/>
          <w:sz w:val="28"/>
          <w:szCs w:val="28"/>
        </w:rPr>
        <w:t xml:space="preserve"> Дапоксетин-СЗ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медиана этих измерений инте</w:t>
      </w:r>
      <w:r>
        <w:rPr>
          <w:rFonts w:ascii="Times New Roman" w:hAnsi="Times New Roman"/>
          <w:sz w:val="28"/>
          <w:szCs w:val="28"/>
        </w:rPr>
        <w:t>рпретировалась как начальное значение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Конечное значение ПВПА определялось как медиана трёх последних измерений перед выходом пациента из исследования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Значимость различий между начальными и конечными значениями ПВПА оценивалась с помощью теста Уилкоксона</w:t>
      </w:r>
      <w:r>
        <w:rPr>
          <w:rFonts w:ascii="Times New Roman" w:hAnsi="Times New Roman"/>
          <w:sz w:val="28"/>
          <w:szCs w:val="28"/>
        </w:rPr>
        <w:t>.</w:t>
      </w: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Анкета </w:t>
      </w:r>
      <w:r>
        <w:rPr>
          <w:rFonts w:ascii="Times New Roman" w:hAnsi="Times New Roman"/>
          <w:sz w:val="28"/>
          <w:szCs w:val="28"/>
          <w:lang w:val="da-DK"/>
        </w:rPr>
        <w:t xml:space="preserve">PEDT </w:t>
      </w:r>
      <w:r>
        <w:rPr>
          <w:rFonts w:ascii="Times New Roman" w:hAnsi="Times New Roman"/>
          <w:sz w:val="28"/>
          <w:szCs w:val="28"/>
        </w:rPr>
        <w:t>заполнялась пациентами непосредс</w:t>
      </w:r>
      <w:r w:rsidR="0058479F">
        <w:rPr>
          <w:rFonts w:ascii="Times New Roman" w:hAnsi="Times New Roman"/>
          <w:sz w:val="28"/>
          <w:szCs w:val="28"/>
        </w:rPr>
        <w:t>твенно перед выдачей</w:t>
      </w:r>
      <w:r w:rsidR="00CF45FA">
        <w:rPr>
          <w:rFonts w:ascii="Times New Roman" w:hAnsi="Times New Roman"/>
          <w:sz w:val="28"/>
          <w:szCs w:val="28"/>
        </w:rPr>
        <w:t xml:space="preserve"> препарата</w:t>
      </w:r>
      <w:r w:rsidR="0058479F">
        <w:rPr>
          <w:rFonts w:ascii="Times New Roman" w:hAnsi="Times New Roman"/>
          <w:sz w:val="28"/>
          <w:szCs w:val="28"/>
        </w:rPr>
        <w:t xml:space="preserve"> Дапоксетин-СЗ</w:t>
      </w:r>
      <w:r>
        <w:rPr>
          <w:rFonts w:ascii="Times New Roman" w:hAnsi="Times New Roman"/>
          <w:sz w:val="28"/>
          <w:szCs w:val="28"/>
        </w:rPr>
        <w:t xml:space="preserve"> и через </w:t>
      </w:r>
      <w:r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дней от начала исследования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Значимость различий между начальными и конечными значениями ПВПА оценивалась с помощью теста Уилкоксона</w:t>
      </w:r>
      <w:r>
        <w:rPr>
          <w:rFonts w:ascii="Times New Roman" w:hAnsi="Times New Roman"/>
          <w:sz w:val="28"/>
          <w:szCs w:val="28"/>
        </w:rPr>
        <w:t>.</w:t>
      </w: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группах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оценивалась </w:t>
      </w:r>
      <w:r>
        <w:rPr>
          <w:rFonts w:ascii="Times New Roman" w:hAnsi="Times New Roman"/>
          <w:sz w:val="28"/>
          <w:szCs w:val="28"/>
        </w:rPr>
        <w:t>доля пациентов с неполным ответом на симптоматическую терапию дапоксетином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 неполным ответом понимали ситуацию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когда на фоне терапии показатель ПВПА оставался менее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минут и </w:t>
      </w:r>
      <w:r w:rsidRPr="000947A6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или сумма баллов по опроснику </w:t>
      </w:r>
      <w:r>
        <w:rPr>
          <w:rFonts w:ascii="Times New Roman" w:hAnsi="Times New Roman"/>
          <w:sz w:val="28"/>
          <w:szCs w:val="28"/>
          <w:lang w:val="en-US"/>
        </w:rPr>
        <w:t>PEDT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составляла </w:t>
      </w:r>
      <w:r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>и более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Доля пациентов с</w:t>
      </w:r>
      <w:r>
        <w:rPr>
          <w:rFonts w:ascii="Times New Roman" w:hAnsi="Times New Roman"/>
          <w:sz w:val="28"/>
          <w:szCs w:val="28"/>
        </w:rPr>
        <w:t xml:space="preserve"> неполным ответом на терапию сравнивалась с помощью теста хи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квадрат</w:t>
      </w:r>
      <w:r>
        <w:rPr>
          <w:rFonts w:ascii="Times New Roman" w:hAnsi="Times New Roman"/>
          <w:sz w:val="28"/>
          <w:szCs w:val="28"/>
        </w:rPr>
        <w:t>.</w:t>
      </w: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Результаты</w:t>
      </w: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Медиана показателя ПВПА среди всех пациентов до начала терапии составила </w:t>
      </w:r>
      <w:r>
        <w:rPr>
          <w:rFonts w:ascii="Times New Roman" w:hAnsi="Times New Roman"/>
          <w:sz w:val="28"/>
          <w:szCs w:val="28"/>
        </w:rPr>
        <w:t xml:space="preserve">63 </w:t>
      </w:r>
      <w:r>
        <w:rPr>
          <w:rFonts w:ascii="Times New Roman" w:hAnsi="Times New Roman"/>
          <w:sz w:val="28"/>
          <w:szCs w:val="28"/>
        </w:rPr>
        <w:t xml:space="preserve">секунды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межквартильный интервал</w:t>
      </w:r>
      <w:r>
        <w:rPr>
          <w:rFonts w:ascii="Times New Roman" w:hAnsi="Times New Roman"/>
          <w:sz w:val="28"/>
          <w:szCs w:val="28"/>
        </w:rPr>
        <w:t xml:space="preserve">: 28.75-94). </w:t>
      </w:r>
      <w:r>
        <w:rPr>
          <w:rFonts w:ascii="Times New Roman" w:hAnsi="Times New Roman"/>
          <w:sz w:val="28"/>
          <w:szCs w:val="28"/>
        </w:rPr>
        <w:t>Через месяц после начала терапии этот показатель сос</w:t>
      </w:r>
      <w:r>
        <w:rPr>
          <w:rFonts w:ascii="Times New Roman" w:hAnsi="Times New Roman"/>
          <w:sz w:val="28"/>
          <w:szCs w:val="28"/>
        </w:rPr>
        <w:t xml:space="preserve">тавил </w:t>
      </w:r>
      <w:r>
        <w:rPr>
          <w:rFonts w:ascii="Times New Roman" w:hAnsi="Times New Roman"/>
          <w:sz w:val="28"/>
          <w:szCs w:val="28"/>
        </w:rPr>
        <w:t xml:space="preserve">119 </w:t>
      </w:r>
      <w:r>
        <w:rPr>
          <w:rFonts w:ascii="Times New Roman" w:hAnsi="Times New Roman"/>
          <w:sz w:val="28"/>
          <w:szCs w:val="28"/>
        </w:rPr>
        <w:t xml:space="preserve">секунд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межквартильный интервал</w:t>
      </w:r>
      <w:r>
        <w:rPr>
          <w:rFonts w:ascii="Times New Roman" w:hAnsi="Times New Roman"/>
          <w:sz w:val="28"/>
          <w:szCs w:val="28"/>
        </w:rPr>
        <w:t>: 58.75-321.75).</w:t>
      </w: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Медиана суммы баллов по опроснику </w:t>
      </w:r>
      <w:r>
        <w:rPr>
          <w:rFonts w:ascii="Times New Roman" w:hAnsi="Times New Roman"/>
          <w:sz w:val="28"/>
          <w:szCs w:val="28"/>
          <w:lang w:val="en-US"/>
        </w:rPr>
        <w:t>PEDT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>
        <w:rPr>
          <w:rFonts w:ascii="Times New Roman" w:hAnsi="Times New Roman"/>
          <w:sz w:val="28"/>
          <w:szCs w:val="28"/>
        </w:rPr>
        <w:t>16 (</w:t>
      </w:r>
      <w:r>
        <w:rPr>
          <w:rFonts w:ascii="Times New Roman" w:hAnsi="Times New Roman"/>
          <w:sz w:val="28"/>
          <w:szCs w:val="28"/>
        </w:rPr>
        <w:t>межквартильный интервал</w:t>
      </w:r>
      <w:r>
        <w:rPr>
          <w:rFonts w:ascii="Times New Roman" w:hAnsi="Times New Roman"/>
          <w:sz w:val="28"/>
          <w:szCs w:val="28"/>
        </w:rPr>
        <w:t xml:space="preserve">: 13-19). </w:t>
      </w:r>
      <w:r>
        <w:rPr>
          <w:rFonts w:ascii="Times New Roman" w:hAnsi="Times New Roman"/>
          <w:sz w:val="28"/>
          <w:szCs w:val="28"/>
        </w:rPr>
        <w:t xml:space="preserve">Через месяц после начала терапии она составила </w:t>
      </w:r>
      <w:r>
        <w:rPr>
          <w:rFonts w:ascii="Times New Roman" w:hAnsi="Times New Roman"/>
          <w:sz w:val="28"/>
          <w:szCs w:val="28"/>
        </w:rPr>
        <w:t>7 (</w:t>
      </w:r>
      <w:r>
        <w:rPr>
          <w:rFonts w:ascii="Times New Roman" w:hAnsi="Times New Roman"/>
          <w:sz w:val="28"/>
          <w:szCs w:val="28"/>
        </w:rPr>
        <w:t>межквартильный интервал</w:t>
      </w:r>
      <w:r>
        <w:rPr>
          <w:rFonts w:ascii="Times New Roman" w:hAnsi="Times New Roman"/>
          <w:sz w:val="28"/>
          <w:szCs w:val="28"/>
        </w:rPr>
        <w:t>: 4-12).</w:t>
      </w: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Результаты сравнения эффективности терапии в группах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представлены в таблицах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>.</w:t>
      </w:r>
    </w:p>
    <w:p w:rsidR="004774AD" w:rsidRDefault="004774AD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927"/>
        <w:gridCol w:w="1926"/>
        <w:gridCol w:w="1926"/>
        <w:gridCol w:w="1925"/>
        <w:gridCol w:w="1926"/>
      </w:tblGrid>
      <w:tr w:rsidR="0047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4AD" w:rsidRDefault="00853958">
            <w:pPr>
              <w:jc w:val="center"/>
            </w:pPr>
            <w:r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  <w:shd w:val="nil"/>
              </w:rPr>
              <w:t>Параметр</w:t>
            </w:r>
          </w:p>
        </w:tc>
        <w:tc>
          <w:tcPr>
            <w:tcW w:w="3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4AD" w:rsidRDefault="00853958">
            <w:pPr>
              <w:jc w:val="center"/>
            </w:pPr>
            <w:r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  <w:shd w:val="nil"/>
              </w:rPr>
              <w:t>ПВПА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4AD" w:rsidRDefault="00853958">
            <w:pPr>
              <w:jc w:val="center"/>
            </w:pPr>
            <w:r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  <w:shd w:val="nil"/>
              </w:rPr>
              <w:t>PEDT</w:t>
            </w:r>
          </w:p>
        </w:tc>
      </w:tr>
      <w:tr w:rsidR="0047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4AD" w:rsidRDefault="00853958">
            <w:pPr>
              <w:jc w:val="center"/>
            </w:pPr>
            <w:r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  <w:shd w:val="nil"/>
              </w:rPr>
              <w:t>Временная точка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4AD" w:rsidRDefault="00853958">
            <w:pPr>
              <w:jc w:val="center"/>
            </w:pPr>
            <w:r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  <w:shd w:val="nil"/>
              </w:rPr>
              <w:t>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4AD" w:rsidRDefault="00853958">
            <w:pPr>
              <w:jc w:val="center"/>
            </w:pPr>
            <w:r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  <w:shd w:val="nil"/>
              </w:rPr>
              <w:t>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4AD" w:rsidRDefault="00853958">
            <w:pPr>
              <w:jc w:val="center"/>
            </w:pPr>
            <w:r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  <w:shd w:val="nil"/>
              </w:rPr>
              <w:t>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4AD" w:rsidRDefault="00853958">
            <w:pPr>
              <w:jc w:val="center"/>
            </w:pPr>
            <w:r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  <w:shd w:val="nil"/>
              </w:rPr>
              <w:t>2</w:t>
            </w:r>
          </w:p>
        </w:tc>
      </w:tr>
      <w:tr w:rsidR="0047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Максимум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587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17</w:t>
            </w:r>
          </w:p>
        </w:tc>
      </w:tr>
      <w:tr w:rsidR="0047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3-</w:t>
            </w:r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й квартиль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127,5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12</w:t>
            </w:r>
          </w:p>
        </w:tc>
      </w:tr>
      <w:tr w:rsidR="0047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Медиана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7</w:t>
            </w:r>
          </w:p>
        </w:tc>
      </w:tr>
      <w:tr w:rsidR="0047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1-</w:t>
            </w:r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й квартиль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42,5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2,5</w:t>
            </w:r>
          </w:p>
        </w:tc>
      </w:tr>
      <w:tr w:rsidR="0047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Минимум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0</w:t>
            </w:r>
          </w:p>
        </w:tc>
      </w:tr>
      <w:tr w:rsidR="0047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p</w:t>
            </w:r>
          </w:p>
        </w:tc>
        <w:tc>
          <w:tcPr>
            <w:tcW w:w="3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0,02088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&lt; 0.00001</w:t>
            </w:r>
          </w:p>
        </w:tc>
      </w:tr>
    </w:tbl>
    <w:p w:rsidR="004774AD" w:rsidRDefault="004774AD">
      <w:pPr>
        <w:pStyle w:val="A6"/>
        <w:widowControl w:val="0"/>
        <w:suppressAutoHyphens/>
        <w:spacing w:line="360" w:lineRule="auto"/>
        <w:ind w:left="108" w:hanging="108"/>
        <w:rPr>
          <w:rFonts w:ascii="Times New Roman" w:eastAsia="Times New Roman" w:hAnsi="Times New Roman" w:cs="Times New Roman"/>
          <w:sz w:val="28"/>
          <w:szCs w:val="28"/>
        </w:rPr>
      </w:pP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– Оценка эф</w:t>
      </w:r>
      <w:r w:rsidR="00CF45FA">
        <w:rPr>
          <w:rFonts w:ascii="Times New Roman" w:hAnsi="Times New Roman"/>
          <w:sz w:val="28"/>
          <w:szCs w:val="28"/>
        </w:rPr>
        <w:t>фективности терапии дапоксетином (Дапоксетин-СЗ)</w:t>
      </w:r>
      <w:r>
        <w:rPr>
          <w:rFonts w:ascii="Times New Roman" w:hAnsi="Times New Roman"/>
          <w:sz w:val="28"/>
          <w:szCs w:val="28"/>
        </w:rPr>
        <w:t xml:space="preserve"> в группе пациентов с первичной преждевременной эякуляцией</w:t>
      </w:r>
    </w:p>
    <w:p w:rsidR="004774AD" w:rsidRDefault="004774AD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927"/>
        <w:gridCol w:w="1926"/>
        <w:gridCol w:w="1926"/>
        <w:gridCol w:w="1925"/>
        <w:gridCol w:w="1926"/>
      </w:tblGrid>
      <w:tr w:rsidR="0047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jc w:val="center"/>
            </w:pPr>
            <w:r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  <w:shd w:val="nil"/>
              </w:rPr>
              <w:t>Параметр</w:t>
            </w:r>
          </w:p>
        </w:tc>
        <w:tc>
          <w:tcPr>
            <w:tcW w:w="3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jc w:val="center"/>
            </w:pPr>
            <w:r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  <w:shd w:val="nil"/>
              </w:rPr>
              <w:t>ПВПА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jc w:val="center"/>
            </w:pPr>
            <w:r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  <w:shd w:val="nil"/>
              </w:rPr>
              <w:t>PEDT</w:t>
            </w:r>
          </w:p>
        </w:tc>
      </w:tr>
      <w:tr w:rsidR="0047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jc w:val="center"/>
            </w:pPr>
            <w:r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  <w:shd w:val="nil"/>
              </w:rPr>
              <w:t>Временная точка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4AD" w:rsidRDefault="00853958">
            <w:pPr>
              <w:jc w:val="center"/>
            </w:pPr>
            <w:r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  <w:shd w:val="nil"/>
              </w:rPr>
              <w:t>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4AD" w:rsidRDefault="00853958">
            <w:pPr>
              <w:jc w:val="center"/>
            </w:pPr>
            <w:r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  <w:shd w:val="nil"/>
              </w:rPr>
              <w:t>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4AD" w:rsidRDefault="00853958">
            <w:pPr>
              <w:jc w:val="center"/>
            </w:pPr>
            <w:r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  <w:shd w:val="nil"/>
              </w:rPr>
              <w:t>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4AD" w:rsidRDefault="00853958">
            <w:pPr>
              <w:jc w:val="center"/>
            </w:pPr>
            <w:r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  <w:shd w:val="nil"/>
              </w:rPr>
              <w:t>2</w:t>
            </w:r>
          </w:p>
        </w:tc>
      </w:tr>
      <w:tr w:rsidR="0047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Максимум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592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16</w:t>
            </w:r>
          </w:p>
        </w:tc>
      </w:tr>
      <w:tr w:rsidR="0047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3-</w:t>
            </w:r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й квартиль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12</w:t>
            </w:r>
          </w:p>
        </w:tc>
      </w:tr>
      <w:tr w:rsidR="0047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Медиана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7</w:t>
            </w:r>
          </w:p>
        </w:tc>
      </w:tr>
      <w:tr w:rsidR="0047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1-</w:t>
            </w:r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й квартиль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5</w:t>
            </w:r>
          </w:p>
        </w:tc>
      </w:tr>
      <w:tr w:rsidR="0047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Минимум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pStyle w:val="a7"/>
              <w:jc w:val="right"/>
            </w:pPr>
            <w:r>
              <w:rPr>
                <w:sz w:val="28"/>
                <w:szCs w:val="28"/>
              </w:rPr>
              <w:t>0</w:t>
            </w:r>
          </w:p>
        </w:tc>
      </w:tr>
      <w:tr w:rsidR="0047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p</w:t>
            </w:r>
          </w:p>
        </w:tc>
        <w:tc>
          <w:tcPr>
            <w:tcW w:w="3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&lt; 0.00001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AD" w:rsidRDefault="00853958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shd w:val="nil"/>
              </w:rPr>
              <w:t>&lt; 0.00001</w:t>
            </w:r>
          </w:p>
        </w:tc>
      </w:tr>
    </w:tbl>
    <w:p w:rsidR="004774AD" w:rsidRDefault="004774AD">
      <w:pPr>
        <w:pStyle w:val="A6"/>
        <w:widowControl w:val="0"/>
        <w:suppressAutoHyphens/>
        <w:spacing w:line="360" w:lineRule="auto"/>
        <w:ind w:left="108" w:hanging="108"/>
        <w:rPr>
          <w:rFonts w:ascii="Times New Roman" w:eastAsia="Times New Roman" w:hAnsi="Times New Roman" w:cs="Times New Roman"/>
          <w:sz w:val="28"/>
          <w:szCs w:val="28"/>
        </w:rPr>
      </w:pP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– Оценка эффективности терапии дапоксетином</w:t>
      </w:r>
      <w:r w:rsidR="00CF45FA">
        <w:rPr>
          <w:rFonts w:ascii="Times New Roman" w:hAnsi="Times New Roman"/>
          <w:sz w:val="28"/>
          <w:szCs w:val="28"/>
        </w:rPr>
        <w:t xml:space="preserve"> (Дапоксетин-СЗ)</w:t>
      </w:r>
      <w:r>
        <w:rPr>
          <w:rFonts w:ascii="Times New Roman" w:hAnsi="Times New Roman"/>
          <w:sz w:val="28"/>
          <w:szCs w:val="28"/>
        </w:rPr>
        <w:t xml:space="preserve"> в группе пациентов с вторичной преждевременной эякуляцией</w:t>
      </w:r>
    </w:p>
    <w:p w:rsidR="004774AD" w:rsidRDefault="004774AD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Несмотря на хорошую общую динамику по показателю </w:t>
      </w:r>
      <w:r>
        <w:rPr>
          <w:rFonts w:ascii="Times New Roman" w:hAnsi="Times New Roman"/>
          <w:sz w:val="28"/>
          <w:szCs w:val="28"/>
        </w:rPr>
        <w:t>продолжительности вагинального полового акта и анкетным данным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группе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неполный ответ на терапию отмечался у </w:t>
      </w:r>
      <w:r>
        <w:rPr>
          <w:rFonts w:ascii="Times New Roman" w:hAnsi="Times New Roman"/>
          <w:sz w:val="28"/>
          <w:szCs w:val="28"/>
        </w:rPr>
        <w:t xml:space="preserve">66.7% </w:t>
      </w:r>
      <w:r>
        <w:rPr>
          <w:rFonts w:ascii="Times New Roman" w:hAnsi="Times New Roman"/>
          <w:sz w:val="28"/>
          <w:szCs w:val="28"/>
        </w:rPr>
        <w:t>пациентов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группе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неполный ответ отмечался у </w:t>
      </w:r>
      <w:r>
        <w:rPr>
          <w:rFonts w:ascii="Times New Roman" w:hAnsi="Times New Roman"/>
          <w:sz w:val="28"/>
          <w:szCs w:val="28"/>
        </w:rPr>
        <w:t xml:space="preserve">39.4% </w:t>
      </w:r>
      <w:r>
        <w:rPr>
          <w:rFonts w:ascii="Times New Roman" w:hAnsi="Times New Roman"/>
          <w:sz w:val="28"/>
          <w:szCs w:val="28"/>
        </w:rPr>
        <w:t>пациентов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Разница между группами по этому показателю оказалась статистически значимой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0947A6">
        <w:rPr>
          <w:rFonts w:ascii="Times New Roman" w:hAnsi="Times New Roman"/>
          <w:sz w:val="28"/>
          <w:szCs w:val="28"/>
        </w:rPr>
        <w:t xml:space="preserve"> = 0.</w:t>
      </w:r>
      <w:r>
        <w:rPr>
          <w:rFonts w:ascii="Times New Roman" w:hAnsi="Times New Roman"/>
          <w:sz w:val="28"/>
          <w:szCs w:val="28"/>
        </w:rPr>
        <w:t>035456</w:t>
      </w:r>
      <w:r w:rsidRPr="000947A6">
        <w:rPr>
          <w:rFonts w:ascii="Times New Roman" w:hAnsi="Times New Roman"/>
          <w:sz w:val="28"/>
          <w:szCs w:val="28"/>
        </w:rPr>
        <w:t>).</w:t>
      </w: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Обсуждение</w:t>
      </w: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Эффективность симптоматической терапии дапоксетином не вызывает сомнений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как она была неоднократно продемонстрирована в рандомизированных контроли</w:t>
      </w:r>
      <w:r>
        <w:rPr>
          <w:rFonts w:ascii="Times New Roman" w:hAnsi="Times New Roman"/>
          <w:sz w:val="28"/>
          <w:szCs w:val="28"/>
        </w:rPr>
        <w:t>руемых исследованиях по преждевременной эякуляции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47A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Li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et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0947A6">
        <w:rPr>
          <w:rFonts w:ascii="Times New Roman" w:hAnsi="Times New Roman"/>
          <w:sz w:val="28"/>
          <w:szCs w:val="28"/>
        </w:rPr>
        <w:t xml:space="preserve">., 2018] </w:t>
      </w:r>
      <w:r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очевидно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ни один препарат не подходит на роль «волшебной таблетки»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 и навсегда решающей проблему эякуляторных нарушений у мужчин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 неизвестно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какой контингент пациен</w:t>
      </w:r>
      <w:r>
        <w:rPr>
          <w:rFonts w:ascii="Times New Roman" w:hAnsi="Times New Roman"/>
          <w:sz w:val="28"/>
          <w:szCs w:val="28"/>
        </w:rPr>
        <w:t>тов является оптимальным для терапии дапоксетином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разработки дифференцированного подхода к терапии преждевременной эякуляции необходимо разобраться в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какой категории больных лучше работают те или иные методы лечения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Учитывая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ингибиторы</w:t>
      </w:r>
      <w:r>
        <w:rPr>
          <w:rFonts w:ascii="Times New Roman" w:hAnsi="Times New Roman"/>
          <w:sz w:val="28"/>
          <w:szCs w:val="28"/>
        </w:rPr>
        <w:t xml:space="preserve"> обратного захвата серотонина влияют преимущественно на центральные механизмы регуляции эякуляторного рефлекса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их эффективность при первичной и вторичной преждевременной эякуляции может быть неодинаковой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считается что первичная преждевременная </w:t>
      </w:r>
      <w:r>
        <w:rPr>
          <w:rFonts w:ascii="Times New Roman" w:hAnsi="Times New Roman"/>
          <w:sz w:val="28"/>
          <w:szCs w:val="28"/>
        </w:rPr>
        <w:t>эякуляция может быть связана с избыточной чувствительностью головки полового члена</w:t>
      </w:r>
      <w:r w:rsidRPr="000947A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которой патогенетически более обосновано применение местных анестетиков</w:t>
      </w:r>
      <w:r>
        <w:rPr>
          <w:rFonts w:ascii="Times New Roman" w:hAnsi="Times New Roman"/>
          <w:sz w:val="28"/>
          <w:szCs w:val="28"/>
        </w:rPr>
        <w:t>.</w:t>
      </w:r>
      <w:r w:rsidRPr="000947A6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  <w:lang w:val="en-US"/>
        </w:rPr>
        <w:t>Chen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et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0947A6">
        <w:rPr>
          <w:rFonts w:ascii="Times New Roman" w:hAnsi="Times New Roman"/>
          <w:sz w:val="28"/>
          <w:szCs w:val="28"/>
        </w:rPr>
        <w:t>., 2018]</w:t>
      </w: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Обобщённый анализ двух исследований </w:t>
      </w:r>
      <w:r>
        <w:rPr>
          <w:rFonts w:ascii="Times New Roman" w:hAnsi="Times New Roman"/>
          <w:sz w:val="28"/>
          <w:szCs w:val="28"/>
        </w:rPr>
        <w:t xml:space="preserve">Porst et al.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не было </w:t>
      </w:r>
      <w:r>
        <w:rPr>
          <w:rFonts w:ascii="Times New Roman" w:hAnsi="Times New Roman"/>
          <w:sz w:val="28"/>
          <w:szCs w:val="28"/>
        </w:rPr>
        <w:t>разницы в способности контролировать эякуляцию на фоне приёма дапоксетина между пациентами с первичной и вторичной преждевременной эякуляцией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47A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Porst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et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0947A6">
        <w:rPr>
          <w:rFonts w:ascii="Times New Roman" w:hAnsi="Times New Roman"/>
          <w:sz w:val="28"/>
          <w:szCs w:val="28"/>
        </w:rPr>
        <w:t xml:space="preserve">., 2010] </w:t>
      </w:r>
      <w:r>
        <w:rPr>
          <w:rFonts w:ascii="Times New Roman" w:hAnsi="Times New Roman"/>
          <w:sz w:val="28"/>
          <w:szCs w:val="28"/>
        </w:rPr>
        <w:t xml:space="preserve">О хорошем уровне контроля эякуляторного рефлекса до начала терапии сообщали </w:t>
      </w:r>
      <w:r>
        <w:rPr>
          <w:rFonts w:ascii="Times New Roman" w:hAnsi="Times New Roman"/>
          <w:sz w:val="28"/>
          <w:szCs w:val="28"/>
        </w:rPr>
        <w:t xml:space="preserve">0.5%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1% </w:t>
      </w:r>
      <w:r>
        <w:rPr>
          <w:rFonts w:ascii="Times New Roman" w:hAnsi="Times New Roman"/>
          <w:sz w:val="28"/>
          <w:szCs w:val="28"/>
        </w:rPr>
        <w:t>пациен</w:t>
      </w:r>
      <w:r>
        <w:rPr>
          <w:rFonts w:ascii="Times New Roman" w:hAnsi="Times New Roman"/>
          <w:sz w:val="28"/>
          <w:szCs w:val="28"/>
        </w:rPr>
        <w:t>тов в группе первичной и вторичной преждевременной эякуляции соответственно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 концу исследования среди пациентов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принимавших по </w:t>
      </w:r>
      <w:r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мг дапоксетина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этот показатель составил </w:t>
      </w:r>
      <w:r>
        <w:rPr>
          <w:rFonts w:ascii="Times New Roman" w:hAnsi="Times New Roman"/>
          <w:sz w:val="28"/>
          <w:szCs w:val="28"/>
        </w:rPr>
        <w:t xml:space="preserve">29%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32% </w:t>
      </w:r>
      <w:r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>.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той же работе была </w:t>
      </w:r>
      <w:r>
        <w:rPr>
          <w:rFonts w:ascii="Times New Roman" w:hAnsi="Times New Roman"/>
          <w:sz w:val="28"/>
          <w:szCs w:val="28"/>
        </w:rPr>
        <w:lastRenderedPageBreak/>
        <w:t>продемонстрирована одинаковая степе</w:t>
      </w:r>
      <w:r>
        <w:rPr>
          <w:rFonts w:ascii="Times New Roman" w:hAnsi="Times New Roman"/>
          <w:sz w:val="28"/>
          <w:szCs w:val="28"/>
        </w:rPr>
        <w:t>нь удовлетворённости половым актом при приёме дапоксетина  у этих категорий пациентов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достигавшая </w:t>
      </w:r>
      <w:r>
        <w:rPr>
          <w:rFonts w:ascii="Times New Roman" w:hAnsi="Times New Roman"/>
          <w:sz w:val="28"/>
          <w:szCs w:val="28"/>
        </w:rPr>
        <w:t xml:space="preserve">40%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38% </w:t>
      </w:r>
      <w:r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>.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 же самое касалось персонального стресса и межличностных отношений в паре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показателю ПВПА отмечалась несколько больша</w:t>
      </w:r>
      <w:r>
        <w:rPr>
          <w:rFonts w:ascii="Times New Roman" w:hAnsi="Times New Roman"/>
          <w:sz w:val="28"/>
          <w:szCs w:val="28"/>
        </w:rPr>
        <w:t xml:space="preserve">я эффективность в группе пациентов с приобретённой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вторичной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преждевременной эякуляцией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несмотря на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это не отражается на субъективной оценке результатов лечения пациентами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нашем исследовании также отмечалась тенденция к неполному ответу на те</w:t>
      </w:r>
      <w:r>
        <w:rPr>
          <w:rFonts w:ascii="Times New Roman" w:hAnsi="Times New Roman"/>
          <w:sz w:val="28"/>
          <w:szCs w:val="28"/>
        </w:rPr>
        <w:t>рапию в группе первичной преждевременной эякуляции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результаты опросника </w:t>
      </w:r>
      <w:r>
        <w:rPr>
          <w:rFonts w:ascii="Times New Roman" w:hAnsi="Times New Roman"/>
          <w:sz w:val="28"/>
          <w:szCs w:val="28"/>
          <w:lang w:val="en-US"/>
        </w:rPr>
        <w:t>PEDT</w:t>
      </w:r>
      <w:r>
        <w:rPr>
          <w:rFonts w:ascii="Times New Roman" w:hAnsi="Times New Roman"/>
          <w:sz w:val="28"/>
          <w:szCs w:val="28"/>
        </w:rPr>
        <w:t xml:space="preserve"> показали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это в целом не отражается на удовлетворённости пациентов</w:t>
      </w:r>
      <w:r>
        <w:rPr>
          <w:rFonts w:ascii="Times New Roman" w:hAnsi="Times New Roman"/>
          <w:sz w:val="28"/>
          <w:szCs w:val="28"/>
        </w:rPr>
        <w:t>.</w:t>
      </w: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Исследование </w:t>
      </w:r>
      <w:r>
        <w:rPr>
          <w:rFonts w:ascii="Times New Roman" w:hAnsi="Times New Roman"/>
          <w:sz w:val="28"/>
          <w:szCs w:val="28"/>
          <w:lang w:val="en-US"/>
        </w:rPr>
        <w:t>Balci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et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0947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также демонстрирует эффективность ингибиторов обратного захвата серотонина п</w:t>
      </w:r>
      <w:r>
        <w:rPr>
          <w:rFonts w:ascii="Times New Roman" w:hAnsi="Times New Roman"/>
          <w:sz w:val="28"/>
          <w:szCs w:val="28"/>
        </w:rPr>
        <w:t>ри первичной преждевременной эякуляции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она не сравнивается с эффективностью препаратов у пациентов с приобретённой форме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47A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Balci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et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0947A6">
        <w:rPr>
          <w:rFonts w:ascii="Times New Roman" w:hAnsi="Times New Roman"/>
          <w:sz w:val="28"/>
          <w:szCs w:val="28"/>
        </w:rPr>
        <w:t xml:space="preserve">., 2019] </w:t>
      </w:r>
      <w:r>
        <w:rPr>
          <w:rFonts w:ascii="Times New Roman" w:hAnsi="Times New Roman"/>
          <w:sz w:val="28"/>
          <w:szCs w:val="28"/>
        </w:rPr>
        <w:t xml:space="preserve">В работе </w:t>
      </w:r>
      <w:r>
        <w:rPr>
          <w:rFonts w:ascii="Times New Roman" w:hAnsi="Times New Roman"/>
          <w:sz w:val="28"/>
          <w:szCs w:val="28"/>
          <w:lang w:val="en-US"/>
        </w:rPr>
        <w:t>Balci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et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0947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дапоксетин более эффективен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остальные препараты этого класса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другой стороны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статье </w:t>
      </w:r>
      <w:r>
        <w:rPr>
          <w:rFonts w:ascii="Times New Roman" w:hAnsi="Times New Roman"/>
          <w:sz w:val="28"/>
          <w:szCs w:val="28"/>
          <w:lang w:val="en-US"/>
        </w:rPr>
        <w:t>Sahan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et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0947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указывается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постоянный приём сертралина может быть более эффективной тактикой при первичной преждевременной эякуляции по сравнению с сертралином по требованию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дапоксетином по требованию и постоянным приёмом дапоксетина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47A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Sahan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et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0947A6">
        <w:rPr>
          <w:rFonts w:ascii="Times New Roman" w:hAnsi="Times New Roman"/>
          <w:sz w:val="28"/>
          <w:szCs w:val="28"/>
        </w:rPr>
        <w:t xml:space="preserve">., 2020] </w:t>
      </w:r>
      <w:r>
        <w:rPr>
          <w:rFonts w:ascii="Times New Roman" w:hAnsi="Times New Roman"/>
          <w:sz w:val="28"/>
          <w:szCs w:val="28"/>
        </w:rPr>
        <w:t>Подобные противоречия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вероятно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указывают на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первичная преждевременная эякуляция является состоянием с гетерогенной этиологией и не до конца понятным патогенезом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Исследование </w:t>
      </w:r>
      <w:r>
        <w:rPr>
          <w:rFonts w:ascii="Times New Roman" w:hAnsi="Times New Roman"/>
          <w:sz w:val="28"/>
          <w:szCs w:val="28"/>
          <w:lang w:val="en-US"/>
        </w:rPr>
        <w:t>Kati</w:t>
      </w:r>
      <w:r w:rsidRPr="000947A6">
        <w:rPr>
          <w:rFonts w:ascii="Times New Roman" w:hAnsi="Times New Roman"/>
          <w:sz w:val="28"/>
          <w:szCs w:val="28"/>
        </w:rPr>
        <w:t xml:space="preserve"> &amp; </w:t>
      </w:r>
      <w:r>
        <w:rPr>
          <w:rFonts w:ascii="Times New Roman" w:hAnsi="Times New Roman"/>
          <w:sz w:val="28"/>
          <w:szCs w:val="28"/>
          <w:lang w:val="en-US"/>
        </w:rPr>
        <w:t>Ay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демонстрирует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на фоне приёма дапокс</w:t>
      </w:r>
      <w:r>
        <w:rPr>
          <w:rFonts w:ascii="Times New Roman" w:hAnsi="Times New Roman"/>
          <w:sz w:val="28"/>
          <w:szCs w:val="28"/>
        </w:rPr>
        <w:t>етина меняются характеристики вызванного симпатического потенциала с кожи полового члена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47A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Kati</w:t>
      </w:r>
      <w:r w:rsidRPr="000947A6">
        <w:rPr>
          <w:rFonts w:ascii="Times New Roman" w:hAnsi="Times New Roman"/>
          <w:sz w:val="28"/>
          <w:szCs w:val="28"/>
        </w:rPr>
        <w:t xml:space="preserve"> &amp; </w:t>
      </w:r>
      <w:r>
        <w:rPr>
          <w:rFonts w:ascii="Times New Roman" w:hAnsi="Times New Roman"/>
          <w:sz w:val="28"/>
          <w:szCs w:val="28"/>
          <w:lang w:val="en-US"/>
        </w:rPr>
        <w:t>Ay</w:t>
      </w:r>
      <w:r w:rsidRPr="000947A6">
        <w:rPr>
          <w:rFonts w:ascii="Times New Roman" w:hAnsi="Times New Roman"/>
          <w:sz w:val="28"/>
          <w:szCs w:val="28"/>
        </w:rPr>
        <w:t xml:space="preserve">, 2018] </w:t>
      </w:r>
      <w:r>
        <w:rPr>
          <w:rFonts w:ascii="Times New Roman" w:hAnsi="Times New Roman"/>
          <w:sz w:val="28"/>
          <w:szCs w:val="28"/>
        </w:rPr>
        <w:t>Следовательно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ингибиторы обратного захвата серотонина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вопреки распространённому мнению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могут влиять не только на центральные механизмы эякуляторн</w:t>
      </w:r>
      <w:r>
        <w:rPr>
          <w:rFonts w:ascii="Times New Roman" w:hAnsi="Times New Roman"/>
          <w:sz w:val="28"/>
          <w:szCs w:val="28"/>
        </w:rPr>
        <w:t>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какой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степени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периферическую чувствительность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Alghobary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et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0947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наглядно показали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первичная преждевременная эякуляция часто связана с повышенной чувствительностью полового члена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 их исследовании топическое нанесение анес</w:t>
      </w:r>
      <w:r>
        <w:rPr>
          <w:rFonts w:ascii="Times New Roman" w:hAnsi="Times New Roman"/>
          <w:sz w:val="28"/>
          <w:szCs w:val="28"/>
        </w:rPr>
        <w:t>тетика оказалось более эффективным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чем </w:t>
      </w:r>
      <w:r>
        <w:rPr>
          <w:rFonts w:ascii="Times New Roman" w:hAnsi="Times New Roman"/>
          <w:sz w:val="28"/>
          <w:szCs w:val="28"/>
        </w:rPr>
        <w:lastRenderedPageBreak/>
        <w:t>дапоксетин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47A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Alghobary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et</w:t>
      </w:r>
      <w:r w:rsidRPr="0009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0947A6">
        <w:rPr>
          <w:rFonts w:ascii="Times New Roman" w:hAnsi="Times New Roman"/>
          <w:sz w:val="28"/>
          <w:szCs w:val="28"/>
        </w:rPr>
        <w:t xml:space="preserve">., 2020] </w:t>
      </w:r>
      <w:r>
        <w:rPr>
          <w:rFonts w:ascii="Times New Roman" w:hAnsi="Times New Roman"/>
          <w:sz w:val="28"/>
          <w:szCs w:val="28"/>
        </w:rPr>
        <w:t>Для окончательного выяснения механизмов патогенеза преждевременной эякуляции могут потребоваться годы фундаментальных и клинических исследований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уже сейчас достоверно известно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дапоксетин по требованию в качестве симптоматической терапии эффективен как при первичной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и при приобретённой формах этого состояния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Несмотря на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его эффективность может быть неодинаковой в зависимости от индивидуальных особенностей паци</w:t>
      </w:r>
      <w:r>
        <w:rPr>
          <w:rFonts w:ascii="Times New Roman" w:hAnsi="Times New Roman"/>
          <w:sz w:val="28"/>
          <w:szCs w:val="28"/>
        </w:rPr>
        <w:t>ента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эти различия представляются незначительными с клинической точки зрения</w:t>
      </w:r>
      <w:r>
        <w:rPr>
          <w:rFonts w:ascii="Times New Roman" w:hAnsi="Times New Roman"/>
          <w:sz w:val="28"/>
          <w:szCs w:val="28"/>
        </w:rPr>
        <w:t>.</w:t>
      </w: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Заключение</w:t>
      </w:r>
    </w:p>
    <w:p w:rsidR="004774AD" w:rsidRDefault="00853958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947A6">
        <w:rPr>
          <w:rFonts w:ascii="Times New Roman" w:hAnsi="Times New Roman"/>
          <w:sz w:val="28"/>
          <w:szCs w:val="28"/>
        </w:rPr>
        <w:t>Симптоматическая терапия Дапоксетин-СЗ (НАО «Северная звезда»</w:t>
      </w:r>
      <w:r w:rsidR="000947A6" w:rsidRPr="000947A6">
        <w:rPr>
          <w:rFonts w:ascii="Times New Roman" w:hAnsi="Times New Roman"/>
          <w:sz w:val="28"/>
          <w:szCs w:val="28"/>
        </w:rPr>
        <w:t>,</w:t>
      </w:r>
      <w:r w:rsidR="00CF45FA">
        <w:rPr>
          <w:rFonts w:ascii="Times New Roman" w:hAnsi="Times New Roman"/>
          <w:sz w:val="28"/>
          <w:szCs w:val="28"/>
        </w:rPr>
        <w:t xml:space="preserve"> </w:t>
      </w:r>
      <w:r w:rsidR="000947A6">
        <w:rPr>
          <w:rFonts w:ascii="Times New Roman" w:hAnsi="Times New Roman"/>
          <w:sz w:val="28"/>
          <w:szCs w:val="28"/>
        </w:rPr>
        <w:t>Россия)</w:t>
      </w:r>
      <w:r>
        <w:rPr>
          <w:rFonts w:ascii="Times New Roman" w:hAnsi="Times New Roman"/>
          <w:sz w:val="28"/>
          <w:szCs w:val="28"/>
        </w:rPr>
        <w:t xml:space="preserve"> положительно влияет на продолжительность вагинального полового акта и удовлетворённость пациентов как при первичной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 и при </w:t>
      </w:r>
      <w:r>
        <w:rPr>
          <w:rFonts w:ascii="Times New Roman" w:hAnsi="Times New Roman"/>
          <w:sz w:val="28"/>
          <w:szCs w:val="28"/>
        </w:rPr>
        <w:t>вторичной преждевременной эякуляции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Тем не менее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приобретённых формах преждевременной эякуляции у пациентов чаще наблюдается полный ответ на терапию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проявляющийся в увеличении медианы продолжительности полового акта более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минут и устранении субъек</w:t>
      </w:r>
      <w:r>
        <w:rPr>
          <w:rFonts w:ascii="Times New Roman" w:hAnsi="Times New Roman"/>
          <w:sz w:val="28"/>
          <w:szCs w:val="28"/>
        </w:rPr>
        <w:t xml:space="preserve">тивных проявлений сексуальной дисфункции по данным опросника </w:t>
      </w:r>
      <w:r>
        <w:rPr>
          <w:rFonts w:ascii="Times New Roman" w:hAnsi="Times New Roman"/>
          <w:sz w:val="28"/>
          <w:szCs w:val="28"/>
          <w:lang w:val="en-US"/>
        </w:rPr>
        <w:t>PEDT</w:t>
      </w:r>
      <w:r w:rsidRPr="000947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может быть связано с характерными различиями патогенеза первичной и вторичной преждевременной эякуляции</w:t>
      </w:r>
      <w:r>
        <w:rPr>
          <w:rFonts w:ascii="Times New Roman" w:hAnsi="Times New Roman"/>
          <w:sz w:val="28"/>
          <w:szCs w:val="28"/>
        </w:rPr>
        <w:t>.</w:t>
      </w:r>
    </w:p>
    <w:p w:rsidR="004774AD" w:rsidRDefault="004774AD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4AD" w:rsidRDefault="004774AD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4AD" w:rsidRDefault="004774AD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853958">
          <w:rPr>
            <w:rStyle w:val="Hyperlink0"/>
            <w:rFonts w:ascii="Times New Roman" w:hAnsi="Times New Roman"/>
            <w:sz w:val="28"/>
            <w:szCs w:val="28"/>
            <w:lang w:val="en-US"/>
          </w:rPr>
          <w:t>https</w:t>
        </w:r>
        <w:r w:rsidR="00853958" w:rsidRPr="000947A6">
          <w:rPr>
            <w:rStyle w:val="Hyperlink0"/>
            <w:rFonts w:ascii="Times New Roman" w:hAnsi="Times New Roman"/>
            <w:sz w:val="28"/>
            <w:szCs w:val="28"/>
          </w:rPr>
          <w:t>://</w:t>
        </w:r>
        <w:r w:rsidR="00853958">
          <w:rPr>
            <w:rStyle w:val="Hyperlink0"/>
            <w:rFonts w:ascii="Times New Roman" w:hAnsi="Times New Roman"/>
            <w:sz w:val="28"/>
            <w:szCs w:val="28"/>
            <w:lang w:val="en-US"/>
          </w:rPr>
          <w:t>tau</w:t>
        </w:r>
        <w:r w:rsidR="00853958" w:rsidRPr="000947A6">
          <w:rPr>
            <w:rStyle w:val="Hyperlink0"/>
            <w:rFonts w:ascii="Times New Roman" w:hAnsi="Times New Roman"/>
            <w:sz w:val="28"/>
            <w:szCs w:val="28"/>
          </w:rPr>
          <w:t>.</w:t>
        </w:r>
        <w:r w:rsidR="00853958">
          <w:rPr>
            <w:rStyle w:val="Hyperlink0"/>
            <w:rFonts w:ascii="Times New Roman" w:hAnsi="Times New Roman"/>
            <w:sz w:val="28"/>
            <w:szCs w:val="28"/>
            <w:lang w:val="en-US"/>
          </w:rPr>
          <w:t>amegroups</w:t>
        </w:r>
        <w:r w:rsidR="00853958" w:rsidRPr="000947A6">
          <w:rPr>
            <w:rStyle w:val="Hyperlink0"/>
            <w:rFonts w:ascii="Times New Roman" w:hAnsi="Times New Roman"/>
            <w:sz w:val="28"/>
            <w:szCs w:val="28"/>
          </w:rPr>
          <w:t>.</w:t>
        </w:r>
        <w:r w:rsidR="00853958">
          <w:rPr>
            <w:rStyle w:val="Hyperlink0"/>
            <w:rFonts w:ascii="Times New Roman" w:hAnsi="Times New Roman"/>
            <w:sz w:val="28"/>
            <w:szCs w:val="28"/>
            <w:lang w:val="en-US"/>
          </w:rPr>
          <w:t>com</w:t>
        </w:r>
        <w:r w:rsidR="00853958" w:rsidRPr="000947A6">
          <w:rPr>
            <w:rStyle w:val="Hyperlink0"/>
            <w:rFonts w:ascii="Times New Roman" w:hAnsi="Times New Roman"/>
            <w:sz w:val="28"/>
            <w:szCs w:val="28"/>
          </w:rPr>
          <w:t>/</w:t>
        </w:r>
        <w:r w:rsidR="00853958">
          <w:rPr>
            <w:rStyle w:val="Hyperlink0"/>
            <w:rFonts w:ascii="Times New Roman" w:hAnsi="Times New Roman"/>
            <w:sz w:val="28"/>
            <w:szCs w:val="28"/>
            <w:lang w:val="en-US"/>
          </w:rPr>
          <w:t>article</w:t>
        </w:r>
        <w:r w:rsidR="00853958" w:rsidRPr="000947A6">
          <w:rPr>
            <w:rStyle w:val="Hyperlink0"/>
            <w:rFonts w:ascii="Times New Roman" w:hAnsi="Times New Roman"/>
            <w:sz w:val="28"/>
            <w:szCs w:val="28"/>
          </w:rPr>
          <w:t>/</w:t>
        </w:r>
        <w:r w:rsidR="00853958">
          <w:rPr>
            <w:rStyle w:val="Hyperlink0"/>
            <w:rFonts w:ascii="Times New Roman" w:hAnsi="Times New Roman"/>
            <w:sz w:val="28"/>
            <w:szCs w:val="28"/>
            <w:lang w:val="en-US"/>
          </w:rPr>
          <w:t>view</w:t>
        </w:r>
        <w:r w:rsidR="00853958" w:rsidRPr="000947A6">
          <w:rPr>
            <w:rStyle w:val="Hyperlink0"/>
            <w:rFonts w:ascii="Times New Roman" w:hAnsi="Times New Roman"/>
            <w:sz w:val="28"/>
            <w:szCs w:val="28"/>
          </w:rPr>
          <w:t>/10575/11762</w:t>
        </w:r>
      </w:hyperlink>
    </w:p>
    <w:p w:rsidR="004774AD" w:rsidRDefault="004774AD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853958">
          <w:rPr>
            <w:rStyle w:val="Hyperlink0"/>
            <w:rFonts w:ascii="Times New Roman" w:hAnsi="Times New Roman"/>
            <w:sz w:val="28"/>
            <w:szCs w:val="28"/>
            <w:lang w:val="pt-PT"/>
          </w:rPr>
          <w:t>https://pubmed.ncbi.nlm.nih.gov/24848805/</w:t>
        </w:r>
      </w:hyperlink>
    </w:p>
    <w:p w:rsidR="004774AD" w:rsidRDefault="004774AD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853958">
          <w:rPr>
            <w:rStyle w:val="Hyperlink0"/>
            <w:rFonts w:ascii="Times New Roman" w:hAnsi="Times New Roman"/>
            <w:sz w:val="28"/>
            <w:szCs w:val="28"/>
          </w:rPr>
          <w:t>https://pubmed.ncbi.nlm.nih.gov/19557098/</w:t>
        </w:r>
      </w:hyperlink>
    </w:p>
    <w:p w:rsidR="004774AD" w:rsidRDefault="004774AD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853958">
          <w:rPr>
            <w:rStyle w:val="Hyperlink0"/>
            <w:rFonts w:ascii="Times New Roman" w:hAnsi="Times New Roman"/>
            <w:sz w:val="28"/>
            <w:szCs w:val="28"/>
            <w:lang w:val="pt-PT"/>
          </w:rPr>
          <w:t>https://pubmed.ncbi.nlm.nih.gov/15298071/</w:t>
        </w:r>
      </w:hyperlink>
    </w:p>
    <w:p w:rsidR="004774AD" w:rsidRDefault="004774AD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853958">
          <w:rPr>
            <w:rStyle w:val="Hyperlink0"/>
            <w:rFonts w:ascii="Times New Roman" w:hAnsi="Times New Roman"/>
            <w:sz w:val="28"/>
            <w:szCs w:val="28"/>
            <w:lang w:val="pt-PT"/>
          </w:rPr>
          <w:t>https://pubmed.ncbi.nlm.nih.gov/21085116/</w:t>
        </w:r>
      </w:hyperlink>
    </w:p>
    <w:p w:rsidR="004774AD" w:rsidRDefault="004774AD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853958">
          <w:rPr>
            <w:rStyle w:val="Hyperlink0"/>
            <w:rFonts w:ascii="Times New Roman" w:hAnsi="Times New Roman"/>
            <w:sz w:val="28"/>
            <w:szCs w:val="28"/>
          </w:rPr>
          <w:t>https://</w:t>
        </w:r>
        <w:r w:rsidR="00853958">
          <w:rPr>
            <w:rStyle w:val="Hyperlink0"/>
            <w:rFonts w:ascii="Times New Roman" w:hAnsi="Times New Roman"/>
            <w:sz w:val="28"/>
            <w:szCs w:val="28"/>
          </w:rPr>
          <w:t>pubmed.ncbi.nlm.nih.gov/20097934/</w:t>
        </w:r>
      </w:hyperlink>
    </w:p>
    <w:p w:rsidR="004774AD" w:rsidRDefault="004774AD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853958">
          <w:rPr>
            <w:rStyle w:val="Hyperlink0"/>
            <w:rFonts w:ascii="Times New Roman" w:hAnsi="Times New Roman"/>
            <w:sz w:val="28"/>
            <w:szCs w:val="28"/>
          </w:rPr>
          <w:t>https://pubmed.ncbi.nlm.nih.gov/30284992/</w:t>
        </w:r>
      </w:hyperlink>
    </w:p>
    <w:p w:rsidR="004774AD" w:rsidRDefault="004774AD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853958">
          <w:rPr>
            <w:rStyle w:val="Hyperlink0"/>
            <w:rFonts w:ascii="Times New Roman" w:hAnsi="Times New Roman"/>
            <w:sz w:val="28"/>
            <w:szCs w:val="28"/>
            <w:lang w:val="pt-PT"/>
          </w:rPr>
          <w:t>https://pubmed.ncbi.nlm.nih.gov/20540653/</w:t>
        </w:r>
      </w:hyperlink>
    </w:p>
    <w:p w:rsidR="004774AD" w:rsidRDefault="004774AD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853958">
          <w:rPr>
            <w:rStyle w:val="Hyperlink0"/>
            <w:rFonts w:ascii="Times New Roman" w:hAnsi="Times New Roman"/>
            <w:sz w:val="28"/>
            <w:szCs w:val="28"/>
            <w:lang w:val="pt-PT"/>
          </w:rPr>
          <w:t>https://pubmed.ncbi.nlm.nih.gov/29405168/</w:t>
        </w:r>
      </w:hyperlink>
    </w:p>
    <w:p w:rsidR="004774AD" w:rsidRDefault="004774AD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853958">
          <w:rPr>
            <w:rStyle w:val="Hyperlink0"/>
            <w:rFonts w:ascii="Times New Roman" w:hAnsi="Times New Roman"/>
            <w:sz w:val="28"/>
            <w:szCs w:val="28"/>
            <w:lang w:val="pt-PT"/>
          </w:rPr>
          <w:t>https://pubmed.ncbi.nlm.nih.gov/20412423/</w:t>
        </w:r>
      </w:hyperlink>
    </w:p>
    <w:p w:rsidR="004774AD" w:rsidRDefault="004774AD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853958">
          <w:rPr>
            <w:rStyle w:val="Hyperlink0"/>
            <w:rFonts w:ascii="Times New Roman" w:hAnsi="Times New Roman"/>
            <w:sz w:val="28"/>
            <w:szCs w:val="28"/>
          </w:rPr>
          <w:t>https://pubmed.ncbi.nlm.nih.gov/31482028/</w:t>
        </w:r>
      </w:hyperlink>
    </w:p>
    <w:p w:rsidR="004774AD" w:rsidRDefault="004774AD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853958">
          <w:rPr>
            <w:rStyle w:val="Hyperlink0"/>
            <w:rFonts w:ascii="Times New Roman" w:hAnsi="Times New Roman"/>
            <w:sz w:val="28"/>
            <w:szCs w:val="28"/>
          </w:rPr>
          <w:t>https://pubmed.ncbi.nlm.nih.gov/33113277/</w:t>
        </w:r>
      </w:hyperlink>
    </w:p>
    <w:p w:rsidR="004774AD" w:rsidRDefault="00853958">
      <w:pPr>
        <w:pStyle w:val="A6"/>
        <w:suppressAutoHyphens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https://pubmed.ncbi.nlm.nih.gov/29952430/</w:t>
      </w:r>
    </w:p>
    <w:sectPr w:rsidR="004774AD" w:rsidSect="004774AD">
      <w:headerReference w:type="default" r:id="rId19"/>
      <w:footerReference w:type="default" r:id="rId20"/>
      <w:pgSz w:w="11900" w:h="16840"/>
      <w:pgMar w:top="1134" w:right="1134" w:bottom="1134" w:left="1134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58" w:rsidRDefault="00853958" w:rsidP="004774AD">
      <w:r>
        <w:separator/>
      </w:r>
    </w:p>
  </w:endnote>
  <w:endnote w:type="continuationSeparator" w:id="0">
    <w:p w:rsidR="00853958" w:rsidRDefault="00853958" w:rsidP="00477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4AD" w:rsidRDefault="004774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58" w:rsidRDefault="00853958" w:rsidP="004774AD">
      <w:r>
        <w:separator/>
      </w:r>
    </w:p>
  </w:footnote>
  <w:footnote w:type="continuationSeparator" w:id="0">
    <w:p w:rsidR="00853958" w:rsidRDefault="00853958" w:rsidP="00477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4AD" w:rsidRDefault="004774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37F3E"/>
    <w:multiLevelType w:val="hybridMultilevel"/>
    <w:tmpl w:val="0E8C7260"/>
    <w:numStyleLink w:val="a"/>
  </w:abstractNum>
  <w:abstractNum w:abstractNumId="1">
    <w:nsid w:val="3ABF6A48"/>
    <w:multiLevelType w:val="hybridMultilevel"/>
    <w:tmpl w:val="0E8C7260"/>
    <w:styleLink w:val="a"/>
    <w:lvl w:ilvl="0" w:tplc="2E5E5152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FEDE66">
      <w:start w:val="1"/>
      <w:numFmt w:val="bullet"/>
      <w:lvlText w:val="•"/>
      <w:lvlJc w:val="left"/>
      <w:pPr>
        <w:ind w:left="409" w:hanging="22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7EA2C6">
      <w:start w:val="1"/>
      <w:numFmt w:val="bullet"/>
      <w:lvlText w:val="•"/>
      <w:lvlJc w:val="left"/>
      <w:pPr>
        <w:ind w:left="589" w:hanging="22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1ACAC2">
      <w:start w:val="1"/>
      <w:numFmt w:val="bullet"/>
      <w:lvlText w:val="•"/>
      <w:lvlJc w:val="left"/>
      <w:pPr>
        <w:ind w:left="769" w:hanging="22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70C2EA">
      <w:start w:val="1"/>
      <w:numFmt w:val="bullet"/>
      <w:lvlText w:val="•"/>
      <w:lvlJc w:val="left"/>
      <w:pPr>
        <w:ind w:left="949" w:hanging="22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2CC498">
      <w:start w:val="1"/>
      <w:numFmt w:val="bullet"/>
      <w:lvlText w:val="•"/>
      <w:lvlJc w:val="left"/>
      <w:pPr>
        <w:ind w:left="1129" w:hanging="22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AD01E">
      <w:start w:val="1"/>
      <w:numFmt w:val="bullet"/>
      <w:lvlText w:val="•"/>
      <w:lvlJc w:val="left"/>
      <w:pPr>
        <w:ind w:left="1309" w:hanging="22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42702C">
      <w:start w:val="1"/>
      <w:numFmt w:val="bullet"/>
      <w:lvlText w:val="•"/>
      <w:lvlJc w:val="left"/>
      <w:pPr>
        <w:ind w:left="1489" w:hanging="22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AE416A">
      <w:start w:val="1"/>
      <w:numFmt w:val="bullet"/>
      <w:lvlText w:val="•"/>
      <w:lvlJc w:val="left"/>
      <w:pPr>
        <w:ind w:left="1669" w:hanging="22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74AD"/>
    <w:rsid w:val="000947A6"/>
    <w:rsid w:val="004774AD"/>
    <w:rsid w:val="0058479F"/>
    <w:rsid w:val="00853958"/>
    <w:rsid w:val="00CF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774AD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4774AD"/>
    <w:rPr>
      <w:u w:val="single"/>
    </w:rPr>
  </w:style>
  <w:style w:type="table" w:customStyle="1" w:styleId="TableNormal">
    <w:name w:val="Table Normal"/>
    <w:rsid w:val="004774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4774A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A6">
    <w:name w:val="Основной текст A"/>
    <w:rsid w:val="004774AD"/>
    <w:rPr>
      <w:rFonts w:ascii="Helvetica Neue" w:hAnsi="Helvetica Neue" w:cs="Arial Unicode MS"/>
      <w:color w:val="000000"/>
      <w:sz w:val="22"/>
      <w:szCs w:val="22"/>
      <w:u w:color="000000"/>
      <w:shd w:val="nil"/>
    </w:rPr>
  </w:style>
  <w:style w:type="numbering" w:customStyle="1" w:styleId="a">
    <w:name w:val="Пункт"/>
    <w:rsid w:val="004774AD"/>
    <w:pPr>
      <w:numPr>
        <w:numId w:val="1"/>
      </w:numPr>
    </w:pPr>
  </w:style>
  <w:style w:type="paragraph" w:styleId="a7">
    <w:name w:val="Body Text"/>
    <w:rsid w:val="004774AD"/>
    <w:rPr>
      <w:rFonts w:cs="Arial Unicode MS"/>
      <w:color w:val="000000"/>
      <w:sz w:val="24"/>
      <w:szCs w:val="24"/>
      <w:u w:color="000000"/>
      <w:shd w:val="nil"/>
      <w:lang w:val="en-US"/>
    </w:rPr>
  </w:style>
  <w:style w:type="character" w:customStyle="1" w:styleId="Hyperlink0">
    <w:name w:val="Hyperlink.0"/>
    <w:basedOn w:val="a4"/>
    <w:rsid w:val="004774AD"/>
    <w:rPr>
      <w:outline w:val="0"/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4848805/" TargetMode="External"/><Relationship Id="rId13" Type="http://schemas.openxmlformats.org/officeDocument/2006/relationships/hyperlink" Target="https://pubmed.ncbi.nlm.nih.gov/30284992/" TargetMode="External"/><Relationship Id="rId18" Type="http://schemas.openxmlformats.org/officeDocument/2006/relationships/hyperlink" Target="https://pubmed.ncbi.nlm.nih.gov/3311327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au.amegroups.com/article/view/10575/11762" TargetMode="External"/><Relationship Id="rId12" Type="http://schemas.openxmlformats.org/officeDocument/2006/relationships/hyperlink" Target="https://pubmed.ncbi.nlm.nih.gov/20097934/" TargetMode="External"/><Relationship Id="rId17" Type="http://schemas.openxmlformats.org/officeDocument/2006/relationships/hyperlink" Target="https://pubmed.ncbi.nlm.nih.gov/3148202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20412423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2108511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29405168/" TargetMode="External"/><Relationship Id="rId10" Type="http://schemas.openxmlformats.org/officeDocument/2006/relationships/hyperlink" Target="https://pubmed.ncbi.nlm.nih.gov/15298071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19557098/" TargetMode="External"/><Relationship Id="rId14" Type="http://schemas.openxmlformats.org/officeDocument/2006/relationships/hyperlink" Target="https://pubmed.ncbi.nlm.nih.gov/2054065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TCHER</cp:lastModifiedBy>
  <cp:revision>3</cp:revision>
  <dcterms:created xsi:type="dcterms:W3CDTF">2021-05-12T08:17:00Z</dcterms:created>
  <dcterms:modified xsi:type="dcterms:W3CDTF">2021-05-12T09:47:00Z</dcterms:modified>
</cp:coreProperties>
</file>