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69" w:rsidRPr="00636E69" w:rsidRDefault="00636E69" w:rsidP="00636E69">
      <w:pPr>
        <w:autoSpaceDE w:val="0"/>
        <w:autoSpaceDN w:val="0"/>
        <w:adjustRightInd w:val="0"/>
        <w:spacing w:after="0" w:line="360" w:lineRule="auto"/>
        <w:jc w:val="center"/>
        <w:rPr>
          <w:rFonts w:ascii="Arial" w:hAnsi="Arial" w:cs="Arial"/>
          <w:b/>
          <w:bCs/>
          <w:sz w:val="28"/>
          <w:szCs w:val="28"/>
        </w:rPr>
      </w:pPr>
      <w:bookmarkStart w:id="0" w:name="_GoBack"/>
      <w:r w:rsidRPr="00636E69">
        <w:rPr>
          <w:rFonts w:ascii="Arial" w:hAnsi="Arial" w:cs="Arial"/>
          <w:b/>
          <w:bCs/>
          <w:sz w:val="28"/>
          <w:szCs w:val="28"/>
        </w:rPr>
        <w:t xml:space="preserve">Применение </w:t>
      </w:r>
      <w:proofErr w:type="spellStart"/>
      <w:r w:rsidRPr="00636E69">
        <w:rPr>
          <w:rFonts w:ascii="Arial" w:hAnsi="Arial" w:cs="Arial"/>
          <w:b/>
          <w:bCs/>
          <w:sz w:val="28"/>
          <w:szCs w:val="28"/>
        </w:rPr>
        <w:t>Тилорона</w:t>
      </w:r>
      <w:proofErr w:type="spellEnd"/>
      <w:r w:rsidRPr="00636E69">
        <w:rPr>
          <w:rFonts w:ascii="Arial" w:hAnsi="Arial" w:cs="Arial"/>
          <w:b/>
          <w:bCs/>
          <w:sz w:val="28"/>
          <w:szCs w:val="28"/>
        </w:rPr>
        <w:t>-СЗ в составе комплексной терапии у больных легкой формой COVID-19</w:t>
      </w:r>
    </w:p>
    <w:bookmarkEnd w:id="0"/>
    <w:p w:rsidR="00636E69" w:rsidRDefault="00636E69" w:rsidP="00A34E01">
      <w:pPr>
        <w:autoSpaceDE w:val="0"/>
        <w:autoSpaceDN w:val="0"/>
        <w:adjustRightInd w:val="0"/>
        <w:spacing w:after="0" w:line="360" w:lineRule="auto"/>
        <w:rPr>
          <w:rFonts w:ascii="Arial" w:hAnsi="Arial" w:cs="Arial"/>
          <w:b/>
          <w:bCs/>
          <w:sz w:val="24"/>
          <w:szCs w:val="24"/>
        </w:rPr>
      </w:pPr>
    </w:p>
    <w:p w:rsidR="00884538" w:rsidRPr="00A34E01" w:rsidRDefault="00884538" w:rsidP="00A34E01">
      <w:pPr>
        <w:autoSpaceDE w:val="0"/>
        <w:autoSpaceDN w:val="0"/>
        <w:adjustRightInd w:val="0"/>
        <w:spacing w:after="0" w:line="360" w:lineRule="auto"/>
        <w:rPr>
          <w:rFonts w:ascii="Arial" w:hAnsi="Arial" w:cs="Arial"/>
          <w:b/>
          <w:bCs/>
          <w:sz w:val="24"/>
          <w:szCs w:val="24"/>
        </w:rPr>
      </w:pPr>
      <w:r w:rsidRPr="00A34E01">
        <w:rPr>
          <w:rFonts w:ascii="Arial" w:hAnsi="Arial" w:cs="Arial"/>
          <w:b/>
          <w:bCs/>
          <w:sz w:val="24"/>
          <w:szCs w:val="24"/>
        </w:rPr>
        <w:t xml:space="preserve">А. В. Барсуков, Д. В. </w:t>
      </w:r>
      <w:proofErr w:type="spellStart"/>
      <w:r w:rsidRPr="00A34E01">
        <w:rPr>
          <w:rFonts w:ascii="Arial" w:hAnsi="Arial" w:cs="Arial"/>
          <w:b/>
          <w:bCs/>
          <w:sz w:val="24"/>
          <w:szCs w:val="24"/>
        </w:rPr>
        <w:t>Глуховской</w:t>
      </w:r>
      <w:proofErr w:type="spellEnd"/>
      <w:r w:rsidRPr="00A34E01">
        <w:rPr>
          <w:rFonts w:ascii="Arial" w:hAnsi="Arial" w:cs="Arial"/>
          <w:b/>
          <w:bCs/>
          <w:sz w:val="24"/>
          <w:szCs w:val="24"/>
        </w:rPr>
        <w:t>, К.Е. Емельянова</w:t>
      </w:r>
    </w:p>
    <w:p w:rsidR="00884538" w:rsidRPr="00A34E01" w:rsidRDefault="00884538" w:rsidP="00D15BEC">
      <w:pPr>
        <w:autoSpaceDE w:val="0"/>
        <w:autoSpaceDN w:val="0"/>
        <w:adjustRightInd w:val="0"/>
        <w:spacing w:after="0" w:line="360" w:lineRule="auto"/>
        <w:ind w:firstLine="567"/>
        <w:rPr>
          <w:rFonts w:ascii="Arial" w:hAnsi="Arial" w:cs="Arial"/>
          <w:sz w:val="24"/>
          <w:szCs w:val="24"/>
        </w:rPr>
      </w:pPr>
      <w:r w:rsidRPr="00A34E01">
        <w:rPr>
          <w:rFonts w:ascii="Arial" w:hAnsi="Arial" w:cs="Arial"/>
          <w:sz w:val="24"/>
          <w:szCs w:val="24"/>
        </w:rPr>
        <w:t>ФГБВОУ ВО «Военно-медицинская академия имени С. М. Кирова» МО РФ, г. Санкт-Петербург, Россия</w:t>
      </w:r>
    </w:p>
    <w:p w:rsidR="00884538" w:rsidRPr="00A34E01" w:rsidRDefault="00884538" w:rsidP="00A34E01">
      <w:pPr>
        <w:autoSpaceDE w:val="0"/>
        <w:autoSpaceDN w:val="0"/>
        <w:adjustRightInd w:val="0"/>
        <w:spacing w:after="0" w:line="360" w:lineRule="auto"/>
        <w:rPr>
          <w:rFonts w:ascii="Arial" w:hAnsi="Arial" w:cs="Arial"/>
          <w:b/>
          <w:bCs/>
          <w:sz w:val="24"/>
          <w:szCs w:val="24"/>
        </w:rPr>
      </w:pPr>
    </w:p>
    <w:p w:rsidR="00884538" w:rsidRPr="00A34E01" w:rsidRDefault="00884538" w:rsidP="00A34E01">
      <w:pPr>
        <w:autoSpaceDE w:val="0"/>
        <w:autoSpaceDN w:val="0"/>
        <w:adjustRightInd w:val="0"/>
        <w:spacing w:after="0" w:line="360" w:lineRule="auto"/>
        <w:jc w:val="center"/>
        <w:rPr>
          <w:rFonts w:ascii="Arial" w:hAnsi="Arial" w:cs="Arial"/>
          <w:b/>
          <w:bCs/>
          <w:sz w:val="24"/>
          <w:szCs w:val="24"/>
          <w:lang w:val="en-US"/>
        </w:rPr>
      </w:pPr>
      <w:r w:rsidRPr="00A34E01">
        <w:rPr>
          <w:rFonts w:ascii="Arial" w:hAnsi="Arial" w:cs="Arial"/>
          <w:b/>
          <w:bCs/>
          <w:sz w:val="24"/>
          <w:szCs w:val="24"/>
          <w:lang w:val="en-US"/>
        </w:rPr>
        <w:t>TO THE QUESTION OF TILORONE USING IN COMPLEX THERAPY OF ACUTE RESPIRATORY INFECTION CAUSED BY THE NEW CORONAVIRUS</w:t>
      </w:r>
    </w:p>
    <w:p w:rsidR="00D15BEC" w:rsidRDefault="00D15BEC" w:rsidP="00A34E01">
      <w:pPr>
        <w:autoSpaceDE w:val="0"/>
        <w:autoSpaceDN w:val="0"/>
        <w:adjustRightInd w:val="0"/>
        <w:spacing w:after="0" w:line="360" w:lineRule="auto"/>
        <w:rPr>
          <w:rFonts w:ascii="Arial" w:hAnsi="Arial" w:cs="Arial"/>
          <w:b/>
          <w:bCs/>
          <w:sz w:val="24"/>
          <w:szCs w:val="24"/>
          <w:lang w:val="en-US"/>
        </w:rPr>
      </w:pPr>
    </w:p>
    <w:p w:rsidR="00D15BEC" w:rsidRPr="00A34E01" w:rsidRDefault="00D15BEC" w:rsidP="00A34E01">
      <w:pPr>
        <w:autoSpaceDE w:val="0"/>
        <w:autoSpaceDN w:val="0"/>
        <w:adjustRightInd w:val="0"/>
        <w:spacing w:after="0" w:line="360" w:lineRule="auto"/>
        <w:rPr>
          <w:rFonts w:ascii="Arial" w:hAnsi="Arial" w:cs="Arial"/>
          <w:b/>
          <w:bCs/>
          <w:sz w:val="24"/>
          <w:szCs w:val="24"/>
          <w:lang w:val="en-US"/>
        </w:rPr>
      </w:pPr>
      <w:r w:rsidRPr="00D15BEC">
        <w:rPr>
          <w:rFonts w:ascii="Arial" w:hAnsi="Arial" w:cs="Arial"/>
          <w:b/>
          <w:bCs/>
          <w:sz w:val="24"/>
          <w:szCs w:val="24"/>
          <w:lang w:val="en-US"/>
        </w:rPr>
        <w:t xml:space="preserve">A.V. </w:t>
      </w:r>
      <w:proofErr w:type="spellStart"/>
      <w:r w:rsidRPr="00D15BEC">
        <w:rPr>
          <w:rFonts w:ascii="Arial" w:hAnsi="Arial" w:cs="Arial"/>
          <w:b/>
          <w:bCs/>
          <w:sz w:val="24"/>
          <w:szCs w:val="24"/>
          <w:lang w:val="en-US"/>
        </w:rPr>
        <w:t>Barsukov</w:t>
      </w:r>
      <w:proofErr w:type="spellEnd"/>
      <w:r w:rsidRPr="00D15BEC">
        <w:rPr>
          <w:rFonts w:ascii="Arial" w:hAnsi="Arial" w:cs="Arial"/>
          <w:b/>
          <w:bCs/>
          <w:sz w:val="24"/>
          <w:szCs w:val="24"/>
          <w:lang w:val="en-US"/>
        </w:rPr>
        <w:t xml:space="preserve">, D. V. </w:t>
      </w:r>
      <w:proofErr w:type="spellStart"/>
      <w:r w:rsidRPr="00D15BEC">
        <w:rPr>
          <w:rFonts w:ascii="Arial" w:hAnsi="Arial" w:cs="Arial"/>
          <w:b/>
          <w:bCs/>
          <w:sz w:val="24"/>
          <w:szCs w:val="24"/>
          <w:lang w:val="en-US"/>
        </w:rPr>
        <w:t>Glukhovskoy</w:t>
      </w:r>
      <w:proofErr w:type="spellEnd"/>
      <w:r w:rsidRPr="00D15BEC">
        <w:rPr>
          <w:rFonts w:ascii="Arial" w:hAnsi="Arial" w:cs="Arial"/>
          <w:b/>
          <w:bCs/>
          <w:sz w:val="24"/>
          <w:szCs w:val="24"/>
          <w:lang w:val="en-US"/>
        </w:rPr>
        <w:t xml:space="preserve">, K.E. </w:t>
      </w:r>
      <w:proofErr w:type="spellStart"/>
      <w:r w:rsidRPr="00D15BEC">
        <w:rPr>
          <w:rFonts w:ascii="Arial" w:hAnsi="Arial" w:cs="Arial"/>
          <w:b/>
          <w:bCs/>
          <w:sz w:val="24"/>
          <w:szCs w:val="24"/>
          <w:lang w:val="en-US"/>
        </w:rPr>
        <w:t>Yemel'yanova</w:t>
      </w:r>
      <w:proofErr w:type="spellEnd"/>
    </w:p>
    <w:p w:rsidR="00884538" w:rsidRPr="00A34E01" w:rsidRDefault="00884538" w:rsidP="00A34E01">
      <w:pPr>
        <w:spacing w:after="0" w:line="360" w:lineRule="auto"/>
        <w:ind w:firstLine="567"/>
        <w:jc w:val="both"/>
        <w:rPr>
          <w:rFonts w:ascii="Arial" w:hAnsi="Arial" w:cs="Arial"/>
          <w:sz w:val="24"/>
          <w:szCs w:val="24"/>
          <w:lang w:val="en-US"/>
        </w:rPr>
      </w:pPr>
      <w:r w:rsidRPr="00A34E01">
        <w:rPr>
          <w:rFonts w:ascii="Arial" w:hAnsi="Arial" w:cs="Arial"/>
          <w:sz w:val="24"/>
          <w:szCs w:val="24"/>
          <w:lang w:val="en-US"/>
        </w:rPr>
        <w:t>S.M. Kirov Military Medical Academy the Russian Defense Ministry, Saint Petersburg, Russia</w:t>
      </w:r>
    </w:p>
    <w:p w:rsidR="00884538" w:rsidRPr="00A34E01" w:rsidRDefault="00884538" w:rsidP="00A34E01">
      <w:pPr>
        <w:spacing w:after="0" w:line="360" w:lineRule="auto"/>
        <w:ind w:firstLine="567"/>
        <w:jc w:val="both"/>
        <w:rPr>
          <w:rFonts w:ascii="Arial" w:hAnsi="Arial" w:cs="Arial"/>
          <w:sz w:val="24"/>
          <w:szCs w:val="24"/>
          <w:lang w:val="en-US"/>
        </w:rPr>
      </w:pPr>
    </w:p>
    <w:p w:rsidR="00884538" w:rsidRPr="00A34E01" w:rsidRDefault="00884538" w:rsidP="00A34E01">
      <w:pPr>
        <w:spacing w:after="0" w:line="360" w:lineRule="auto"/>
        <w:ind w:firstLine="567"/>
        <w:jc w:val="both"/>
        <w:rPr>
          <w:rFonts w:ascii="Arial" w:hAnsi="Arial" w:cs="Arial"/>
          <w:b/>
          <w:color w:val="333333"/>
          <w:sz w:val="24"/>
          <w:szCs w:val="24"/>
          <w:shd w:val="clear" w:color="auto" w:fill="FFFFFF"/>
          <w:lang w:val="en-US"/>
        </w:rPr>
      </w:pPr>
    </w:p>
    <w:p w:rsidR="00884538" w:rsidRPr="00A34E01" w:rsidRDefault="00884538" w:rsidP="00A34E01">
      <w:pPr>
        <w:spacing w:after="0" w:line="360" w:lineRule="auto"/>
        <w:ind w:firstLine="567"/>
        <w:jc w:val="both"/>
        <w:rPr>
          <w:rFonts w:ascii="Arial" w:hAnsi="Arial" w:cs="Arial"/>
          <w:b/>
          <w:color w:val="333333"/>
          <w:sz w:val="24"/>
          <w:szCs w:val="24"/>
          <w:shd w:val="clear" w:color="auto" w:fill="FFFFFF"/>
        </w:rPr>
      </w:pPr>
      <w:r w:rsidRPr="00A34E01">
        <w:rPr>
          <w:rFonts w:ascii="Arial" w:hAnsi="Arial" w:cs="Arial"/>
          <w:b/>
          <w:color w:val="333333"/>
          <w:sz w:val="24"/>
          <w:szCs w:val="24"/>
          <w:shd w:val="clear" w:color="auto" w:fill="FFFFFF"/>
        </w:rPr>
        <w:t>ВВЕДЕНИЕ</w:t>
      </w:r>
    </w:p>
    <w:p w:rsidR="00884538" w:rsidRPr="00A34E01" w:rsidRDefault="00884538" w:rsidP="00A34E01">
      <w:pPr>
        <w:spacing w:after="0" w:line="360" w:lineRule="auto"/>
        <w:ind w:firstLine="567"/>
        <w:jc w:val="both"/>
        <w:rPr>
          <w:rFonts w:ascii="Arial" w:hAnsi="Arial" w:cs="Arial"/>
          <w:color w:val="000000" w:themeColor="text1"/>
          <w:sz w:val="24"/>
          <w:szCs w:val="24"/>
        </w:rPr>
      </w:pPr>
      <w:r w:rsidRPr="00A34E01">
        <w:rPr>
          <w:rFonts w:ascii="Arial" w:hAnsi="Arial" w:cs="Arial"/>
          <w:color w:val="000000" w:themeColor="text1"/>
          <w:sz w:val="24"/>
          <w:szCs w:val="24"/>
        </w:rPr>
        <w:t xml:space="preserve">На протяжении последних пяти лет человечество столкнулось с инфекционными угрозами, обусловленными вирусами </w:t>
      </w:r>
      <w:r w:rsidRPr="00A34E01">
        <w:rPr>
          <w:rFonts w:ascii="Arial" w:hAnsi="Arial" w:cs="Arial"/>
          <w:color w:val="000000" w:themeColor="text1"/>
          <w:sz w:val="24"/>
          <w:szCs w:val="24"/>
          <w:lang w:val="en-US"/>
        </w:rPr>
        <w:t>Ebola</w:t>
      </w:r>
      <w:r w:rsidRPr="00A34E01">
        <w:rPr>
          <w:rFonts w:ascii="Arial" w:hAnsi="Arial" w:cs="Arial"/>
          <w:color w:val="000000" w:themeColor="text1"/>
          <w:sz w:val="24"/>
          <w:szCs w:val="24"/>
        </w:rPr>
        <w:t xml:space="preserve"> [</w:t>
      </w:r>
      <w:proofErr w:type="spellStart"/>
      <w:r w:rsidR="00E7469B" w:rsidRPr="00A34E01">
        <w:rPr>
          <w:rFonts w:ascii="Arial" w:eastAsia="Times New Roman" w:hAnsi="Arial" w:cs="Arial"/>
          <w:iCs/>
          <w:color w:val="000000" w:themeColor="text1"/>
          <w:sz w:val="24"/>
          <w:szCs w:val="24"/>
          <w:lang w:val="en-US" w:eastAsia="ru-RU"/>
        </w:rPr>
        <w:t>Furuyama</w:t>
      </w:r>
      <w:proofErr w:type="spellEnd"/>
      <w:r w:rsidR="00E7469B" w:rsidRPr="00A34E01">
        <w:rPr>
          <w:rFonts w:ascii="Arial" w:eastAsia="Times New Roman" w:hAnsi="Arial" w:cs="Arial"/>
          <w:iCs/>
          <w:color w:val="000000" w:themeColor="text1"/>
          <w:sz w:val="24"/>
          <w:szCs w:val="24"/>
          <w:lang w:eastAsia="ru-RU"/>
        </w:rPr>
        <w:t xml:space="preserve"> </w:t>
      </w:r>
      <w:r w:rsidR="00E7469B" w:rsidRPr="00A34E01">
        <w:rPr>
          <w:rFonts w:ascii="Arial" w:eastAsia="Times New Roman" w:hAnsi="Arial" w:cs="Arial"/>
          <w:iCs/>
          <w:color w:val="000000" w:themeColor="text1"/>
          <w:sz w:val="24"/>
          <w:szCs w:val="24"/>
          <w:lang w:val="en-US" w:eastAsia="ru-RU"/>
        </w:rPr>
        <w:t>W</w:t>
      </w:r>
      <w:r w:rsidR="00E7469B" w:rsidRPr="00A34E01">
        <w:rPr>
          <w:rFonts w:ascii="Arial" w:eastAsia="Times New Roman" w:hAnsi="Arial" w:cs="Arial"/>
          <w:iCs/>
          <w:color w:val="000000" w:themeColor="text1"/>
          <w:sz w:val="24"/>
          <w:szCs w:val="24"/>
          <w:lang w:eastAsia="ru-RU"/>
        </w:rPr>
        <w:t xml:space="preserve">. </w:t>
      </w:r>
      <w:r w:rsidR="000C5315" w:rsidRPr="00A34E01">
        <w:rPr>
          <w:rFonts w:ascii="Arial" w:eastAsia="Times New Roman" w:hAnsi="Arial" w:cs="Arial"/>
          <w:iCs/>
          <w:color w:val="000000" w:themeColor="text1"/>
          <w:sz w:val="24"/>
          <w:szCs w:val="24"/>
          <w:lang w:val="en-US" w:eastAsia="ru-RU"/>
        </w:rPr>
        <w:t>e</w:t>
      </w:r>
      <w:r w:rsidR="00E7469B" w:rsidRPr="00A34E01">
        <w:rPr>
          <w:rFonts w:ascii="Arial" w:eastAsia="Times New Roman" w:hAnsi="Arial" w:cs="Arial"/>
          <w:iCs/>
          <w:color w:val="000000" w:themeColor="text1"/>
          <w:sz w:val="24"/>
          <w:szCs w:val="24"/>
          <w:lang w:val="en-US" w:eastAsia="ru-RU"/>
        </w:rPr>
        <w:t>t</w:t>
      </w:r>
      <w:r w:rsidR="00E7469B" w:rsidRPr="00A34E01">
        <w:rPr>
          <w:rFonts w:ascii="Arial" w:eastAsia="Times New Roman" w:hAnsi="Arial" w:cs="Arial"/>
          <w:iCs/>
          <w:color w:val="000000" w:themeColor="text1"/>
          <w:sz w:val="24"/>
          <w:szCs w:val="24"/>
          <w:lang w:eastAsia="ru-RU"/>
        </w:rPr>
        <w:t xml:space="preserve"> </w:t>
      </w:r>
      <w:r w:rsidR="00E7469B" w:rsidRPr="00A34E01">
        <w:rPr>
          <w:rFonts w:ascii="Arial" w:eastAsia="Times New Roman" w:hAnsi="Arial" w:cs="Arial"/>
          <w:iCs/>
          <w:color w:val="000000" w:themeColor="text1"/>
          <w:sz w:val="24"/>
          <w:szCs w:val="24"/>
          <w:lang w:val="en-US" w:eastAsia="ru-RU"/>
        </w:rPr>
        <w:t>al</w:t>
      </w:r>
      <w:r w:rsidR="00E7469B" w:rsidRPr="00A34E01">
        <w:rPr>
          <w:rFonts w:ascii="Arial" w:eastAsia="Times New Roman" w:hAnsi="Arial" w:cs="Arial"/>
          <w:iCs/>
          <w:color w:val="000000" w:themeColor="text1"/>
          <w:sz w:val="24"/>
          <w:szCs w:val="24"/>
          <w:lang w:eastAsia="ru-RU"/>
        </w:rPr>
        <w:t>., 2019</w:t>
      </w:r>
      <w:r w:rsidRPr="00A34E01">
        <w:rPr>
          <w:rFonts w:ascii="Arial" w:hAnsi="Arial" w:cs="Arial"/>
          <w:color w:val="000000" w:themeColor="text1"/>
          <w:sz w:val="24"/>
          <w:szCs w:val="24"/>
        </w:rPr>
        <w:t xml:space="preserve">], </w:t>
      </w:r>
      <w:proofErr w:type="spellStart"/>
      <w:r w:rsidRPr="00A34E01">
        <w:rPr>
          <w:rFonts w:ascii="Arial" w:hAnsi="Arial" w:cs="Arial"/>
          <w:color w:val="000000" w:themeColor="text1"/>
          <w:sz w:val="24"/>
          <w:szCs w:val="24"/>
          <w:lang w:val="en-US"/>
        </w:rPr>
        <w:t>Zika</w:t>
      </w:r>
      <w:proofErr w:type="spellEnd"/>
      <w:r w:rsidRPr="00A34E01">
        <w:rPr>
          <w:rFonts w:ascii="Arial" w:hAnsi="Arial" w:cs="Arial"/>
          <w:color w:val="000000" w:themeColor="text1"/>
          <w:sz w:val="24"/>
          <w:szCs w:val="24"/>
        </w:rPr>
        <w:t xml:space="preserve"> [</w:t>
      </w:r>
      <w:proofErr w:type="spellStart"/>
      <w:r w:rsidR="00E7469B" w:rsidRPr="00A34E01">
        <w:rPr>
          <w:rFonts w:ascii="Arial" w:eastAsia="Times New Roman" w:hAnsi="Arial" w:cs="Arial"/>
          <w:iCs/>
          <w:color w:val="000000" w:themeColor="text1"/>
          <w:sz w:val="24"/>
          <w:szCs w:val="24"/>
          <w:lang w:val="en-US" w:eastAsia="ru-RU"/>
        </w:rPr>
        <w:t>Musso</w:t>
      </w:r>
      <w:proofErr w:type="spellEnd"/>
      <w:r w:rsidR="00E7469B" w:rsidRPr="00A34E01">
        <w:rPr>
          <w:rFonts w:ascii="Arial" w:eastAsia="Times New Roman" w:hAnsi="Arial" w:cs="Arial"/>
          <w:iCs/>
          <w:color w:val="000000" w:themeColor="text1"/>
          <w:sz w:val="24"/>
          <w:szCs w:val="24"/>
          <w:lang w:eastAsia="ru-RU"/>
        </w:rPr>
        <w:t xml:space="preserve"> </w:t>
      </w:r>
      <w:r w:rsidR="00E7469B" w:rsidRPr="00A34E01">
        <w:rPr>
          <w:rFonts w:ascii="Arial" w:eastAsia="Times New Roman" w:hAnsi="Arial" w:cs="Arial"/>
          <w:iCs/>
          <w:color w:val="000000" w:themeColor="text1"/>
          <w:sz w:val="24"/>
          <w:szCs w:val="24"/>
          <w:lang w:val="en-US" w:eastAsia="ru-RU"/>
        </w:rPr>
        <w:t>D</w:t>
      </w:r>
      <w:r w:rsidR="00E7469B" w:rsidRPr="00A34E01">
        <w:rPr>
          <w:rFonts w:ascii="Arial" w:eastAsia="Times New Roman" w:hAnsi="Arial" w:cs="Arial"/>
          <w:iCs/>
          <w:color w:val="000000" w:themeColor="text1"/>
          <w:sz w:val="24"/>
          <w:szCs w:val="24"/>
          <w:lang w:eastAsia="ru-RU"/>
        </w:rPr>
        <w:t xml:space="preserve">. </w:t>
      </w:r>
      <w:r w:rsidR="00E7469B" w:rsidRPr="00A34E01">
        <w:rPr>
          <w:rFonts w:ascii="Arial" w:eastAsia="Times New Roman" w:hAnsi="Arial" w:cs="Arial"/>
          <w:iCs/>
          <w:color w:val="000000" w:themeColor="text1"/>
          <w:sz w:val="24"/>
          <w:szCs w:val="24"/>
          <w:lang w:val="en-US" w:eastAsia="ru-RU"/>
        </w:rPr>
        <w:t>et</w:t>
      </w:r>
      <w:r w:rsidR="00E7469B" w:rsidRPr="00A34E01">
        <w:rPr>
          <w:rFonts w:ascii="Arial" w:eastAsia="Times New Roman" w:hAnsi="Arial" w:cs="Arial"/>
          <w:iCs/>
          <w:color w:val="000000" w:themeColor="text1"/>
          <w:sz w:val="24"/>
          <w:szCs w:val="24"/>
          <w:lang w:eastAsia="ru-RU"/>
        </w:rPr>
        <w:t xml:space="preserve"> </w:t>
      </w:r>
      <w:r w:rsidR="00E7469B" w:rsidRPr="00A34E01">
        <w:rPr>
          <w:rFonts w:ascii="Arial" w:eastAsia="Times New Roman" w:hAnsi="Arial" w:cs="Arial"/>
          <w:iCs/>
          <w:color w:val="000000" w:themeColor="text1"/>
          <w:sz w:val="24"/>
          <w:szCs w:val="24"/>
          <w:lang w:val="en-US" w:eastAsia="ru-RU"/>
        </w:rPr>
        <w:t>al</w:t>
      </w:r>
      <w:r w:rsidR="00E7469B" w:rsidRPr="00A34E01">
        <w:rPr>
          <w:rFonts w:ascii="Arial" w:eastAsia="Times New Roman" w:hAnsi="Arial" w:cs="Arial"/>
          <w:iCs/>
          <w:color w:val="000000" w:themeColor="text1"/>
          <w:sz w:val="24"/>
          <w:szCs w:val="24"/>
          <w:lang w:eastAsia="ru-RU"/>
        </w:rPr>
        <w:t>., 2019</w:t>
      </w:r>
      <w:r w:rsidRPr="00A34E01">
        <w:rPr>
          <w:rFonts w:ascii="Arial" w:hAnsi="Arial" w:cs="Arial"/>
          <w:color w:val="000000" w:themeColor="text1"/>
          <w:sz w:val="24"/>
          <w:szCs w:val="24"/>
        </w:rPr>
        <w:t xml:space="preserve">] и </w:t>
      </w:r>
      <w:r w:rsidRPr="00A34E01">
        <w:rPr>
          <w:rFonts w:ascii="Arial" w:hAnsi="Arial" w:cs="Arial"/>
          <w:color w:val="000000" w:themeColor="text1"/>
          <w:sz w:val="24"/>
          <w:szCs w:val="24"/>
          <w:lang w:val="en-US"/>
        </w:rPr>
        <w:t>SARS</w:t>
      </w:r>
      <w:r w:rsidRPr="00A34E01">
        <w:rPr>
          <w:rFonts w:ascii="Arial" w:hAnsi="Arial" w:cs="Arial"/>
          <w:color w:val="000000" w:themeColor="text1"/>
          <w:sz w:val="24"/>
          <w:szCs w:val="24"/>
        </w:rPr>
        <w:t>-</w:t>
      </w:r>
      <w:proofErr w:type="spellStart"/>
      <w:r w:rsidRPr="00A34E01">
        <w:rPr>
          <w:rFonts w:ascii="Arial" w:hAnsi="Arial" w:cs="Arial"/>
          <w:color w:val="000000" w:themeColor="text1"/>
          <w:sz w:val="24"/>
          <w:szCs w:val="24"/>
          <w:lang w:val="en-US"/>
        </w:rPr>
        <w:t>CoV</w:t>
      </w:r>
      <w:proofErr w:type="spellEnd"/>
      <w:r w:rsidRPr="00A34E01">
        <w:rPr>
          <w:rFonts w:ascii="Arial" w:hAnsi="Arial" w:cs="Arial"/>
          <w:color w:val="000000" w:themeColor="text1"/>
          <w:sz w:val="24"/>
          <w:szCs w:val="24"/>
        </w:rPr>
        <w:t xml:space="preserve">-2 (инфекция, вызванная новым </w:t>
      </w:r>
      <w:proofErr w:type="spellStart"/>
      <w:r w:rsidRPr="00A34E01">
        <w:rPr>
          <w:rFonts w:ascii="Arial" w:hAnsi="Arial" w:cs="Arial"/>
          <w:color w:val="000000" w:themeColor="text1"/>
          <w:sz w:val="24"/>
          <w:szCs w:val="24"/>
        </w:rPr>
        <w:t>коронавирусом</w:t>
      </w:r>
      <w:proofErr w:type="spellEnd"/>
      <w:r w:rsidRPr="00A34E01">
        <w:rPr>
          <w:rFonts w:ascii="Arial" w:hAnsi="Arial" w:cs="Arial"/>
          <w:color w:val="000000" w:themeColor="text1"/>
          <w:sz w:val="24"/>
          <w:szCs w:val="24"/>
        </w:rPr>
        <w:t xml:space="preserve"> (</w:t>
      </w:r>
      <w:r w:rsidRPr="00A34E01">
        <w:rPr>
          <w:rFonts w:ascii="Arial" w:hAnsi="Arial" w:cs="Arial"/>
          <w:color w:val="000000" w:themeColor="text1"/>
          <w:sz w:val="24"/>
          <w:szCs w:val="24"/>
          <w:lang w:val="en-US"/>
        </w:rPr>
        <w:t>COVID</w:t>
      </w:r>
      <w:r w:rsidRPr="00A34E01">
        <w:rPr>
          <w:rFonts w:ascii="Arial" w:hAnsi="Arial" w:cs="Arial"/>
          <w:color w:val="000000" w:themeColor="text1"/>
          <w:sz w:val="24"/>
          <w:szCs w:val="24"/>
        </w:rPr>
        <w:t>-19)) [</w:t>
      </w:r>
      <w:r w:rsidR="00E7469B" w:rsidRPr="00A34E01">
        <w:rPr>
          <w:rFonts w:ascii="Arial" w:eastAsia="Times New Roman" w:hAnsi="Arial" w:cs="Arial"/>
          <w:iCs/>
          <w:color w:val="000000" w:themeColor="text1"/>
          <w:sz w:val="24"/>
          <w:szCs w:val="24"/>
          <w:lang w:val="en-US" w:eastAsia="ru-RU"/>
        </w:rPr>
        <w:t>Wang</w:t>
      </w:r>
      <w:r w:rsidR="00E7469B" w:rsidRPr="00A34E01">
        <w:rPr>
          <w:rFonts w:ascii="Arial" w:eastAsia="Times New Roman" w:hAnsi="Arial" w:cs="Arial"/>
          <w:iCs/>
          <w:color w:val="000000" w:themeColor="text1"/>
          <w:sz w:val="24"/>
          <w:szCs w:val="24"/>
          <w:lang w:eastAsia="ru-RU"/>
        </w:rPr>
        <w:t xml:space="preserve"> </w:t>
      </w:r>
      <w:r w:rsidR="00E7469B" w:rsidRPr="00A34E01">
        <w:rPr>
          <w:rFonts w:ascii="Arial" w:eastAsia="Times New Roman" w:hAnsi="Arial" w:cs="Arial"/>
          <w:iCs/>
          <w:color w:val="000000" w:themeColor="text1"/>
          <w:sz w:val="24"/>
          <w:szCs w:val="24"/>
          <w:lang w:val="en-US" w:eastAsia="ru-RU"/>
        </w:rPr>
        <w:t>M</w:t>
      </w:r>
      <w:r w:rsidR="00E7469B" w:rsidRPr="00A34E01">
        <w:rPr>
          <w:rFonts w:ascii="Arial" w:eastAsia="Times New Roman" w:hAnsi="Arial" w:cs="Arial"/>
          <w:iCs/>
          <w:color w:val="000000" w:themeColor="text1"/>
          <w:sz w:val="24"/>
          <w:szCs w:val="24"/>
          <w:lang w:eastAsia="ru-RU"/>
        </w:rPr>
        <w:t xml:space="preserve">. </w:t>
      </w:r>
      <w:r w:rsidR="00E7469B" w:rsidRPr="00A34E01">
        <w:rPr>
          <w:rFonts w:ascii="Arial" w:eastAsia="Times New Roman" w:hAnsi="Arial" w:cs="Arial"/>
          <w:iCs/>
          <w:color w:val="000000" w:themeColor="text1"/>
          <w:sz w:val="24"/>
          <w:szCs w:val="24"/>
          <w:lang w:val="en-US" w:eastAsia="ru-RU"/>
        </w:rPr>
        <w:t>et</w:t>
      </w:r>
      <w:r w:rsidR="00E7469B" w:rsidRPr="00A34E01">
        <w:rPr>
          <w:rFonts w:ascii="Arial" w:eastAsia="Times New Roman" w:hAnsi="Arial" w:cs="Arial"/>
          <w:iCs/>
          <w:color w:val="000000" w:themeColor="text1"/>
          <w:sz w:val="24"/>
          <w:szCs w:val="24"/>
          <w:lang w:eastAsia="ru-RU"/>
        </w:rPr>
        <w:t xml:space="preserve"> </w:t>
      </w:r>
      <w:r w:rsidR="00E7469B" w:rsidRPr="00A34E01">
        <w:rPr>
          <w:rFonts w:ascii="Arial" w:eastAsia="Times New Roman" w:hAnsi="Arial" w:cs="Arial"/>
          <w:iCs/>
          <w:color w:val="000000" w:themeColor="text1"/>
          <w:sz w:val="24"/>
          <w:szCs w:val="24"/>
          <w:lang w:val="en-US" w:eastAsia="ru-RU"/>
        </w:rPr>
        <w:t>al</w:t>
      </w:r>
      <w:r w:rsidR="00E7469B" w:rsidRPr="00A34E01">
        <w:rPr>
          <w:rFonts w:ascii="Arial" w:eastAsia="Times New Roman" w:hAnsi="Arial" w:cs="Arial"/>
          <w:iCs/>
          <w:color w:val="000000" w:themeColor="text1"/>
          <w:sz w:val="24"/>
          <w:szCs w:val="24"/>
          <w:lang w:eastAsia="ru-RU"/>
        </w:rPr>
        <w:t xml:space="preserve">., 2020; </w:t>
      </w:r>
      <w:proofErr w:type="spellStart"/>
      <w:r w:rsidR="00E7469B" w:rsidRPr="00A34E01">
        <w:rPr>
          <w:rFonts w:ascii="Arial" w:eastAsia="Times New Roman" w:hAnsi="Arial" w:cs="Arial"/>
          <w:iCs/>
          <w:color w:val="000000" w:themeColor="text1"/>
          <w:sz w:val="24"/>
          <w:szCs w:val="24"/>
          <w:lang w:val="en-US" w:eastAsia="ru-RU"/>
        </w:rPr>
        <w:t>Holshue</w:t>
      </w:r>
      <w:proofErr w:type="spellEnd"/>
      <w:r w:rsidR="00E7469B" w:rsidRPr="00A34E01">
        <w:rPr>
          <w:rFonts w:ascii="Arial" w:eastAsia="Times New Roman" w:hAnsi="Arial" w:cs="Arial"/>
          <w:iCs/>
          <w:color w:val="000000" w:themeColor="text1"/>
          <w:sz w:val="24"/>
          <w:szCs w:val="24"/>
          <w:lang w:eastAsia="ru-RU"/>
        </w:rPr>
        <w:t xml:space="preserve"> </w:t>
      </w:r>
      <w:r w:rsidR="00E7469B" w:rsidRPr="00A34E01">
        <w:rPr>
          <w:rFonts w:ascii="Arial" w:eastAsia="Times New Roman" w:hAnsi="Arial" w:cs="Arial"/>
          <w:iCs/>
          <w:color w:val="000000" w:themeColor="text1"/>
          <w:sz w:val="24"/>
          <w:szCs w:val="24"/>
          <w:lang w:val="en-US" w:eastAsia="ru-RU"/>
        </w:rPr>
        <w:t>M</w:t>
      </w:r>
      <w:r w:rsidR="00E7469B" w:rsidRPr="00A34E01">
        <w:rPr>
          <w:rFonts w:ascii="Arial" w:eastAsia="Times New Roman" w:hAnsi="Arial" w:cs="Arial"/>
          <w:iCs/>
          <w:color w:val="000000" w:themeColor="text1"/>
          <w:sz w:val="24"/>
          <w:szCs w:val="24"/>
          <w:lang w:eastAsia="ru-RU"/>
        </w:rPr>
        <w:t>.</w:t>
      </w:r>
      <w:r w:rsidR="00E7469B" w:rsidRPr="00A34E01">
        <w:rPr>
          <w:rFonts w:ascii="Arial" w:eastAsia="Times New Roman" w:hAnsi="Arial" w:cs="Arial"/>
          <w:iCs/>
          <w:color w:val="000000" w:themeColor="text1"/>
          <w:sz w:val="24"/>
          <w:szCs w:val="24"/>
          <w:lang w:val="en-US" w:eastAsia="ru-RU"/>
        </w:rPr>
        <w:t>L</w:t>
      </w:r>
      <w:r w:rsidR="00E7469B" w:rsidRPr="00A34E01">
        <w:rPr>
          <w:rFonts w:ascii="Arial" w:eastAsia="Times New Roman" w:hAnsi="Arial" w:cs="Arial"/>
          <w:iCs/>
          <w:color w:val="000000" w:themeColor="text1"/>
          <w:sz w:val="24"/>
          <w:szCs w:val="24"/>
          <w:lang w:eastAsia="ru-RU"/>
        </w:rPr>
        <w:t xml:space="preserve">. </w:t>
      </w:r>
      <w:r w:rsidR="00E7469B" w:rsidRPr="00A34E01">
        <w:rPr>
          <w:rFonts w:ascii="Arial" w:eastAsia="Times New Roman" w:hAnsi="Arial" w:cs="Arial"/>
          <w:iCs/>
          <w:color w:val="000000" w:themeColor="text1"/>
          <w:sz w:val="24"/>
          <w:szCs w:val="24"/>
          <w:lang w:val="en-US" w:eastAsia="ru-RU"/>
        </w:rPr>
        <w:t>et</w:t>
      </w:r>
      <w:r w:rsidR="00E7469B" w:rsidRPr="00A34E01">
        <w:rPr>
          <w:rFonts w:ascii="Arial" w:eastAsia="Times New Roman" w:hAnsi="Arial" w:cs="Arial"/>
          <w:iCs/>
          <w:color w:val="000000" w:themeColor="text1"/>
          <w:sz w:val="24"/>
          <w:szCs w:val="24"/>
          <w:lang w:eastAsia="ru-RU"/>
        </w:rPr>
        <w:t xml:space="preserve"> </w:t>
      </w:r>
      <w:r w:rsidR="00E7469B" w:rsidRPr="00A34E01">
        <w:rPr>
          <w:rFonts w:ascii="Arial" w:eastAsia="Times New Roman" w:hAnsi="Arial" w:cs="Arial"/>
          <w:iCs/>
          <w:color w:val="000000" w:themeColor="text1"/>
          <w:sz w:val="24"/>
          <w:szCs w:val="24"/>
          <w:lang w:val="en-US" w:eastAsia="ru-RU"/>
        </w:rPr>
        <w:t>al</w:t>
      </w:r>
      <w:r w:rsidR="00E7469B" w:rsidRPr="00A34E01">
        <w:rPr>
          <w:rFonts w:ascii="Arial" w:eastAsia="Times New Roman" w:hAnsi="Arial" w:cs="Arial"/>
          <w:iCs/>
          <w:color w:val="000000" w:themeColor="text1"/>
          <w:sz w:val="24"/>
          <w:szCs w:val="24"/>
          <w:lang w:eastAsia="ru-RU"/>
        </w:rPr>
        <w:t>., 2020</w:t>
      </w:r>
      <w:r w:rsidRPr="00A34E01">
        <w:rPr>
          <w:rFonts w:ascii="Arial" w:hAnsi="Arial" w:cs="Arial"/>
          <w:color w:val="000000" w:themeColor="text1"/>
          <w:sz w:val="24"/>
          <w:szCs w:val="24"/>
        </w:rPr>
        <w:t xml:space="preserve">]. </w:t>
      </w:r>
      <w:proofErr w:type="spellStart"/>
      <w:r w:rsidRPr="00A34E01">
        <w:rPr>
          <w:rFonts w:ascii="Arial" w:hAnsi="Arial" w:cs="Arial"/>
          <w:color w:val="000000" w:themeColor="text1"/>
          <w:sz w:val="24"/>
          <w:szCs w:val="24"/>
        </w:rPr>
        <w:t>Коронавирусы</w:t>
      </w:r>
      <w:proofErr w:type="spellEnd"/>
      <w:r w:rsidRPr="00A34E01">
        <w:rPr>
          <w:rFonts w:ascii="Arial" w:hAnsi="Arial" w:cs="Arial"/>
          <w:color w:val="000000" w:themeColor="text1"/>
          <w:sz w:val="24"/>
          <w:szCs w:val="24"/>
        </w:rPr>
        <w:t xml:space="preserve"> представляют собой покрытые оболочкой </w:t>
      </w:r>
      <w:proofErr w:type="spellStart"/>
      <w:r w:rsidRPr="00A34E01">
        <w:rPr>
          <w:rFonts w:ascii="Arial" w:hAnsi="Arial" w:cs="Arial"/>
          <w:color w:val="000000" w:themeColor="text1"/>
          <w:sz w:val="24"/>
          <w:szCs w:val="24"/>
        </w:rPr>
        <w:t>сенс</w:t>
      </w:r>
      <w:proofErr w:type="spellEnd"/>
      <w:r w:rsidRPr="00A34E01">
        <w:rPr>
          <w:rFonts w:ascii="Arial" w:hAnsi="Arial" w:cs="Arial"/>
          <w:color w:val="000000" w:themeColor="text1"/>
          <w:sz w:val="24"/>
          <w:szCs w:val="24"/>
        </w:rPr>
        <w:t xml:space="preserve">-позитивные вирусы с </w:t>
      </w:r>
      <w:proofErr w:type="spellStart"/>
      <w:r w:rsidRPr="00A34E01">
        <w:rPr>
          <w:rFonts w:ascii="Arial" w:hAnsi="Arial" w:cs="Arial"/>
          <w:color w:val="000000" w:themeColor="text1"/>
          <w:sz w:val="24"/>
          <w:szCs w:val="24"/>
        </w:rPr>
        <w:t>одноцепочечным</w:t>
      </w:r>
      <w:proofErr w:type="spellEnd"/>
      <w:r w:rsidRPr="00A34E01">
        <w:rPr>
          <w:rFonts w:ascii="Arial" w:hAnsi="Arial" w:cs="Arial"/>
          <w:color w:val="000000" w:themeColor="text1"/>
          <w:sz w:val="24"/>
          <w:szCs w:val="24"/>
        </w:rPr>
        <w:t xml:space="preserve"> РНК-геномом и симметричным спиральным </w:t>
      </w:r>
      <w:proofErr w:type="spellStart"/>
      <w:r w:rsidRPr="00A34E01">
        <w:rPr>
          <w:rFonts w:ascii="Arial" w:hAnsi="Arial" w:cs="Arial"/>
          <w:color w:val="000000" w:themeColor="text1"/>
          <w:sz w:val="24"/>
          <w:szCs w:val="24"/>
        </w:rPr>
        <w:t>нуклеокапсидом</w:t>
      </w:r>
      <w:proofErr w:type="spellEnd"/>
      <w:r w:rsidRPr="00A34E01">
        <w:rPr>
          <w:rFonts w:ascii="Arial" w:hAnsi="Arial" w:cs="Arial"/>
          <w:color w:val="000000" w:themeColor="text1"/>
          <w:sz w:val="24"/>
          <w:szCs w:val="24"/>
        </w:rPr>
        <w:t xml:space="preserve">. </w:t>
      </w:r>
      <w:proofErr w:type="spellStart"/>
      <w:r w:rsidRPr="00A34E01">
        <w:rPr>
          <w:rFonts w:ascii="Arial" w:hAnsi="Arial" w:cs="Arial"/>
          <w:color w:val="000000" w:themeColor="text1"/>
          <w:sz w:val="24"/>
          <w:szCs w:val="24"/>
        </w:rPr>
        <w:t>Коронавирусы</w:t>
      </w:r>
      <w:proofErr w:type="spellEnd"/>
      <w:r w:rsidRPr="00A34E01">
        <w:rPr>
          <w:rFonts w:ascii="Arial" w:hAnsi="Arial" w:cs="Arial"/>
          <w:color w:val="000000" w:themeColor="text1"/>
          <w:sz w:val="24"/>
          <w:szCs w:val="24"/>
        </w:rPr>
        <w:t xml:space="preserve"> вызывают инфекции дыхательных путей у людей, причем наиболее серьёзные случаи вызваны </w:t>
      </w:r>
      <w:r w:rsidRPr="00A34E01">
        <w:rPr>
          <w:rFonts w:ascii="Arial" w:hAnsi="Arial" w:cs="Arial"/>
          <w:color w:val="000000" w:themeColor="text1"/>
          <w:sz w:val="24"/>
          <w:szCs w:val="24"/>
          <w:lang w:val="en-US"/>
        </w:rPr>
        <w:t>SARS</w:t>
      </w:r>
      <w:r w:rsidRPr="00A34E01">
        <w:rPr>
          <w:rFonts w:ascii="Arial" w:hAnsi="Arial" w:cs="Arial"/>
          <w:color w:val="000000" w:themeColor="text1"/>
          <w:sz w:val="24"/>
          <w:szCs w:val="24"/>
        </w:rPr>
        <w:t>, MERS и SARS-CoV-2). Новые инфекционные угрозы привлекают значительное внимание государственных служб и ведомств, медицинской и научной общественности, населения в целом ввиду вполне обоснованных опасений, обусловленных временным отсутствием твёрдо доказанных профилактических и терапевтических подходов. Очевидна необходимость расширения спектра противовирусных средств, эффективных при т.н. новых инфекциях [</w:t>
      </w:r>
      <w:r w:rsidR="00E7469B" w:rsidRPr="00A34E01">
        <w:rPr>
          <w:rFonts w:ascii="Arial" w:hAnsi="Arial" w:cs="Arial"/>
          <w:color w:val="000000" w:themeColor="text1"/>
          <w:sz w:val="24"/>
          <w:szCs w:val="24"/>
          <w:lang w:val="en-US"/>
        </w:rPr>
        <w:t>Ekins</w:t>
      </w:r>
      <w:r w:rsidR="00E7469B" w:rsidRPr="00A34E01">
        <w:rPr>
          <w:rFonts w:ascii="Arial" w:hAnsi="Arial" w:cs="Arial"/>
          <w:color w:val="000000" w:themeColor="text1"/>
          <w:sz w:val="24"/>
          <w:szCs w:val="24"/>
        </w:rPr>
        <w:t xml:space="preserve"> </w:t>
      </w:r>
      <w:r w:rsidR="00E7469B" w:rsidRPr="00A34E01">
        <w:rPr>
          <w:rFonts w:ascii="Arial" w:hAnsi="Arial" w:cs="Arial"/>
          <w:color w:val="000000" w:themeColor="text1"/>
          <w:sz w:val="24"/>
          <w:szCs w:val="24"/>
          <w:lang w:val="en-US"/>
        </w:rPr>
        <w:t>S</w:t>
      </w:r>
      <w:r w:rsidR="00E7469B" w:rsidRPr="00A34E01">
        <w:rPr>
          <w:rFonts w:ascii="Arial" w:hAnsi="Arial" w:cs="Arial"/>
          <w:color w:val="000000" w:themeColor="text1"/>
          <w:sz w:val="24"/>
          <w:szCs w:val="24"/>
        </w:rPr>
        <w:t xml:space="preserve">. </w:t>
      </w:r>
      <w:r w:rsidR="00E7469B" w:rsidRPr="00A34E01">
        <w:rPr>
          <w:rFonts w:ascii="Arial" w:hAnsi="Arial" w:cs="Arial"/>
          <w:color w:val="000000" w:themeColor="text1"/>
          <w:sz w:val="24"/>
          <w:szCs w:val="24"/>
          <w:lang w:val="en-US"/>
        </w:rPr>
        <w:t>et</w:t>
      </w:r>
      <w:r w:rsidR="00E7469B" w:rsidRPr="00A34E01">
        <w:rPr>
          <w:rFonts w:ascii="Arial" w:hAnsi="Arial" w:cs="Arial"/>
          <w:color w:val="000000" w:themeColor="text1"/>
          <w:sz w:val="24"/>
          <w:szCs w:val="24"/>
        </w:rPr>
        <w:t xml:space="preserve"> </w:t>
      </w:r>
      <w:r w:rsidR="00E7469B" w:rsidRPr="00A34E01">
        <w:rPr>
          <w:rFonts w:ascii="Arial" w:hAnsi="Arial" w:cs="Arial"/>
          <w:color w:val="000000" w:themeColor="text1"/>
          <w:sz w:val="24"/>
          <w:szCs w:val="24"/>
          <w:lang w:val="en-US"/>
        </w:rPr>
        <w:t>al</w:t>
      </w:r>
      <w:r w:rsidR="00E7469B" w:rsidRPr="00A34E01">
        <w:rPr>
          <w:rFonts w:ascii="Arial" w:hAnsi="Arial" w:cs="Arial"/>
          <w:color w:val="000000" w:themeColor="text1"/>
          <w:sz w:val="24"/>
          <w:szCs w:val="24"/>
        </w:rPr>
        <w:t>., 2020</w:t>
      </w:r>
      <w:r w:rsidRPr="00A34E01">
        <w:rPr>
          <w:rFonts w:ascii="Arial" w:hAnsi="Arial" w:cs="Arial"/>
          <w:color w:val="000000" w:themeColor="text1"/>
          <w:sz w:val="24"/>
          <w:szCs w:val="24"/>
        </w:rPr>
        <w:t xml:space="preserve">]. Некоторые из тенденций развития лекарственных препаратов против SARS-CoV-2 включают поиск ингибиторов вирусных протеаз 3CLpro или </w:t>
      </w:r>
      <w:proofErr w:type="spellStart"/>
      <w:r w:rsidRPr="00A34E01">
        <w:rPr>
          <w:rFonts w:ascii="Arial" w:hAnsi="Arial" w:cs="Arial"/>
          <w:color w:val="000000" w:themeColor="text1"/>
          <w:sz w:val="24"/>
          <w:szCs w:val="24"/>
        </w:rPr>
        <w:t>PLpro</w:t>
      </w:r>
      <w:proofErr w:type="spellEnd"/>
      <w:r w:rsidRPr="00A34E01">
        <w:rPr>
          <w:rFonts w:ascii="Arial" w:hAnsi="Arial" w:cs="Arial"/>
          <w:color w:val="000000" w:themeColor="text1"/>
          <w:sz w:val="24"/>
          <w:szCs w:val="24"/>
        </w:rPr>
        <w:t xml:space="preserve">, ингибиторов экспрессии вирусных белков, ингибиторов проникновения вируса в </w:t>
      </w:r>
      <w:proofErr w:type="spellStart"/>
      <w:r w:rsidRPr="00A34E01">
        <w:rPr>
          <w:rFonts w:ascii="Arial" w:hAnsi="Arial" w:cs="Arial"/>
          <w:color w:val="000000" w:themeColor="text1"/>
          <w:sz w:val="24"/>
          <w:szCs w:val="24"/>
        </w:rPr>
        <w:t>таргетные</w:t>
      </w:r>
      <w:proofErr w:type="spellEnd"/>
      <w:r w:rsidRPr="00A34E01">
        <w:rPr>
          <w:rFonts w:ascii="Arial" w:hAnsi="Arial" w:cs="Arial"/>
          <w:color w:val="000000" w:themeColor="text1"/>
          <w:sz w:val="24"/>
          <w:szCs w:val="24"/>
        </w:rPr>
        <w:t xml:space="preserve"> клетки, а также ингибиторов репликации вируса. Представляется важным изучение индукции синтеза </w:t>
      </w:r>
      <w:r w:rsidRPr="00A34E01">
        <w:rPr>
          <w:rFonts w:ascii="Arial" w:hAnsi="Arial" w:cs="Arial"/>
          <w:color w:val="000000" w:themeColor="text1"/>
          <w:sz w:val="24"/>
          <w:szCs w:val="24"/>
        </w:rPr>
        <w:lastRenderedPageBreak/>
        <w:t xml:space="preserve">интерферонов в интересах лечения новой </w:t>
      </w:r>
      <w:proofErr w:type="spellStart"/>
      <w:r w:rsidRPr="00A34E01">
        <w:rPr>
          <w:rFonts w:ascii="Arial" w:hAnsi="Arial" w:cs="Arial"/>
          <w:color w:val="000000" w:themeColor="text1"/>
          <w:sz w:val="24"/>
          <w:szCs w:val="24"/>
        </w:rPr>
        <w:t>коронавирусной</w:t>
      </w:r>
      <w:proofErr w:type="spellEnd"/>
      <w:r w:rsidRPr="00A34E01">
        <w:rPr>
          <w:rFonts w:ascii="Arial" w:hAnsi="Arial" w:cs="Arial"/>
          <w:color w:val="000000" w:themeColor="text1"/>
          <w:sz w:val="24"/>
          <w:szCs w:val="24"/>
        </w:rPr>
        <w:t xml:space="preserve"> инфекции [</w:t>
      </w:r>
      <w:r w:rsidR="00E7469B" w:rsidRPr="00A34E01">
        <w:rPr>
          <w:rFonts w:ascii="Arial" w:hAnsi="Arial" w:cs="Arial"/>
          <w:color w:val="000000" w:themeColor="text1"/>
          <w:sz w:val="24"/>
          <w:szCs w:val="24"/>
          <w:lang w:val="en-US"/>
        </w:rPr>
        <w:t>Fehr</w:t>
      </w:r>
      <w:r w:rsidR="00E7469B" w:rsidRPr="00A34E01">
        <w:rPr>
          <w:rFonts w:ascii="Arial" w:hAnsi="Arial" w:cs="Arial"/>
          <w:color w:val="000000" w:themeColor="text1"/>
          <w:sz w:val="24"/>
          <w:szCs w:val="24"/>
        </w:rPr>
        <w:t xml:space="preserve"> </w:t>
      </w:r>
      <w:r w:rsidR="00E7469B" w:rsidRPr="00A34E01">
        <w:rPr>
          <w:rFonts w:ascii="Arial" w:hAnsi="Arial" w:cs="Arial"/>
          <w:color w:val="000000" w:themeColor="text1"/>
          <w:sz w:val="24"/>
          <w:szCs w:val="24"/>
          <w:lang w:val="en-US"/>
        </w:rPr>
        <w:t>A</w:t>
      </w:r>
      <w:r w:rsidR="00E7469B" w:rsidRPr="00A34E01">
        <w:rPr>
          <w:rFonts w:ascii="Arial" w:hAnsi="Arial" w:cs="Arial"/>
          <w:color w:val="000000" w:themeColor="text1"/>
          <w:sz w:val="24"/>
          <w:szCs w:val="24"/>
        </w:rPr>
        <w:t>.</w:t>
      </w:r>
      <w:r w:rsidR="00E7469B" w:rsidRPr="00A34E01">
        <w:rPr>
          <w:rFonts w:ascii="Arial" w:hAnsi="Arial" w:cs="Arial"/>
          <w:color w:val="000000" w:themeColor="text1"/>
          <w:sz w:val="24"/>
          <w:szCs w:val="24"/>
          <w:lang w:val="en-US"/>
        </w:rPr>
        <w:t>R</w:t>
      </w:r>
      <w:r w:rsidR="00E7469B" w:rsidRPr="00A34E01">
        <w:rPr>
          <w:rFonts w:ascii="Arial" w:hAnsi="Arial" w:cs="Arial"/>
          <w:color w:val="000000" w:themeColor="text1"/>
          <w:sz w:val="24"/>
          <w:szCs w:val="24"/>
        </w:rPr>
        <w:t xml:space="preserve">. </w:t>
      </w:r>
      <w:r w:rsidR="00E7469B" w:rsidRPr="00A34E01">
        <w:rPr>
          <w:rFonts w:ascii="Arial" w:hAnsi="Arial" w:cs="Arial"/>
          <w:color w:val="000000" w:themeColor="text1"/>
          <w:sz w:val="24"/>
          <w:szCs w:val="24"/>
          <w:lang w:val="en-US"/>
        </w:rPr>
        <w:t>et</w:t>
      </w:r>
      <w:r w:rsidR="00E7469B" w:rsidRPr="00A34E01">
        <w:rPr>
          <w:rFonts w:ascii="Arial" w:hAnsi="Arial" w:cs="Arial"/>
          <w:color w:val="000000" w:themeColor="text1"/>
          <w:sz w:val="24"/>
          <w:szCs w:val="24"/>
        </w:rPr>
        <w:t xml:space="preserve"> </w:t>
      </w:r>
      <w:r w:rsidR="00E7469B" w:rsidRPr="00A34E01">
        <w:rPr>
          <w:rFonts w:ascii="Arial" w:hAnsi="Arial" w:cs="Arial"/>
          <w:color w:val="000000" w:themeColor="text1"/>
          <w:sz w:val="24"/>
          <w:szCs w:val="24"/>
          <w:lang w:val="en-US"/>
        </w:rPr>
        <w:t>al</w:t>
      </w:r>
      <w:r w:rsidR="00E7469B" w:rsidRPr="00A34E01">
        <w:rPr>
          <w:rFonts w:ascii="Arial" w:hAnsi="Arial" w:cs="Arial"/>
          <w:color w:val="000000" w:themeColor="text1"/>
          <w:sz w:val="24"/>
          <w:szCs w:val="24"/>
        </w:rPr>
        <w:t xml:space="preserve">., 2015; </w:t>
      </w:r>
      <w:proofErr w:type="spellStart"/>
      <w:r w:rsidR="00E7469B" w:rsidRPr="00A34E01">
        <w:rPr>
          <w:rFonts w:ascii="Arial" w:hAnsi="Arial" w:cs="Arial"/>
          <w:color w:val="000000" w:themeColor="text1"/>
          <w:sz w:val="24"/>
          <w:szCs w:val="24"/>
          <w:lang w:val="en-US"/>
        </w:rPr>
        <w:t>Gorbalenya</w:t>
      </w:r>
      <w:proofErr w:type="spellEnd"/>
      <w:r w:rsidR="00E7469B" w:rsidRPr="00A34E01">
        <w:rPr>
          <w:rFonts w:ascii="Arial" w:hAnsi="Arial" w:cs="Arial"/>
          <w:color w:val="000000" w:themeColor="text1"/>
          <w:sz w:val="24"/>
          <w:szCs w:val="24"/>
        </w:rPr>
        <w:t xml:space="preserve"> </w:t>
      </w:r>
      <w:r w:rsidR="00E7469B" w:rsidRPr="00A34E01">
        <w:rPr>
          <w:rFonts w:ascii="Arial" w:hAnsi="Arial" w:cs="Arial"/>
          <w:color w:val="000000" w:themeColor="text1"/>
          <w:sz w:val="24"/>
          <w:szCs w:val="24"/>
          <w:lang w:val="en-US"/>
        </w:rPr>
        <w:t>A</w:t>
      </w:r>
      <w:r w:rsidR="00E7469B" w:rsidRPr="00A34E01">
        <w:rPr>
          <w:rFonts w:ascii="Arial" w:hAnsi="Arial" w:cs="Arial"/>
          <w:color w:val="000000" w:themeColor="text1"/>
          <w:sz w:val="24"/>
          <w:szCs w:val="24"/>
        </w:rPr>
        <w:t>.</w:t>
      </w:r>
      <w:r w:rsidR="00E7469B" w:rsidRPr="00A34E01">
        <w:rPr>
          <w:rFonts w:ascii="Arial" w:hAnsi="Arial" w:cs="Arial"/>
          <w:color w:val="000000" w:themeColor="text1"/>
          <w:sz w:val="24"/>
          <w:szCs w:val="24"/>
          <w:lang w:val="en-US"/>
        </w:rPr>
        <w:t>E</w:t>
      </w:r>
      <w:r w:rsidR="00E7469B" w:rsidRPr="00A34E01">
        <w:rPr>
          <w:rFonts w:ascii="Arial" w:hAnsi="Arial" w:cs="Arial"/>
          <w:color w:val="000000" w:themeColor="text1"/>
          <w:sz w:val="24"/>
          <w:szCs w:val="24"/>
        </w:rPr>
        <w:t xml:space="preserve">. </w:t>
      </w:r>
      <w:proofErr w:type="spellStart"/>
      <w:r w:rsidR="00E7469B" w:rsidRPr="00A34E01">
        <w:rPr>
          <w:rFonts w:ascii="Arial" w:hAnsi="Arial" w:cs="Arial"/>
          <w:color w:val="000000" w:themeColor="text1"/>
          <w:sz w:val="24"/>
          <w:szCs w:val="24"/>
        </w:rPr>
        <w:t>et</w:t>
      </w:r>
      <w:proofErr w:type="spellEnd"/>
      <w:r w:rsidR="00E7469B" w:rsidRPr="00A34E01">
        <w:rPr>
          <w:rFonts w:ascii="Arial" w:hAnsi="Arial" w:cs="Arial"/>
          <w:color w:val="000000" w:themeColor="text1"/>
          <w:sz w:val="24"/>
          <w:szCs w:val="24"/>
        </w:rPr>
        <w:t xml:space="preserve"> </w:t>
      </w:r>
      <w:proofErr w:type="spellStart"/>
      <w:r w:rsidR="00E7469B" w:rsidRPr="00A34E01">
        <w:rPr>
          <w:rFonts w:ascii="Arial" w:hAnsi="Arial" w:cs="Arial"/>
          <w:color w:val="000000" w:themeColor="text1"/>
          <w:sz w:val="24"/>
          <w:szCs w:val="24"/>
        </w:rPr>
        <w:t>al</w:t>
      </w:r>
      <w:proofErr w:type="spellEnd"/>
      <w:r w:rsidR="00E7469B" w:rsidRPr="00A34E01">
        <w:rPr>
          <w:rFonts w:ascii="Arial" w:hAnsi="Arial" w:cs="Arial"/>
          <w:color w:val="000000" w:themeColor="text1"/>
          <w:sz w:val="24"/>
          <w:szCs w:val="24"/>
        </w:rPr>
        <w:t xml:space="preserve">., 2020; </w:t>
      </w:r>
      <w:proofErr w:type="spellStart"/>
      <w:r w:rsidR="00E7469B" w:rsidRPr="00A34E01">
        <w:rPr>
          <w:rFonts w:ascii="Arial" w:hAnsi="Arial" w:cs="Arial"/>
          <w:color w:val="000000" w:themeColor="text1"/>
          <w:sz w:val="24"/>
          <w:szCs w:val="24"/>
          <w:lang w:val="en-US"/>
        </w:rPr>
        <w:t>Letko</w:t>
      </w:r>
      <w:proofErr w:type="spellEnd"/>
      <w:r w:rsidR="00E7469B" w:rsidRPr="00A34E01">
        <w:rPr>
          <w:rFonts w:ascii="Arial" w:hAnsi="Arial" w:cs="Arial"/>
          <w:color w:val="000000" w:themeColor="text1"/>
          <w:sz w:val="24"/>
          <w:szCs w:val="24"/>
        </w:rPr>
        <w:t xml:space="preserve"> </w:t>
      </w:r>
      <w:r w:rsidR="00E7469B" w:rsidRPr="00A34E01">
        <w:rPr>
          <w:rFonts w:ascii="Arial" w:hAnsi="Arial" w:cs="Arial"/>
          <w:color w:val="000000" w:themeColor="text1"/>
          <w:sz w:val="24"/>
          <w:szCs w:val="24"/>
          <w:lang w:val="en-US"/>
        </w:rPr>
        <w:t>M</w:t>
      </w:r>
      <w:r w:rsidR="00E7469B" w:rsidRPr="00A34E01">
        <w:rPr>
          <w:rFonts w:ascii="Arial" w:hAnsi="Arial" w:cs="Arial"/>
          <w:color w:val="000000" w:themeColor="text1"/>
          <w:sz w:val="24"/>
          <w:szCs w:val="24"/>
        </w:rPr>
        <w:t xml:space="preserve">. </w:t>
      </w:r>
      <w:r w:rsidR="00E7469B" w:rsidRPr="00A34E01">
        <w:rPr>
          <w:rFonts w:ascii="Arial" w:hAnsi="Arial" w:cs="Arial"/>
          <w:color w:val="000000" w:themeColor="text1"/>
          <w:sz w:val="24"/>
          <w:szCs w:val="24"/>
          <w:lang w:val="en-US"/>
        </w:rPr>
        <w:t>et</w:t>
      </w:r>
      <w:r w:rsidR="00E7469B" w:rsidRPr="00A34E01">
        <w:rPr>
          <w:rFonts w:ascii="Arial" w:hAnsi="Arial" w:cs="Arial"/>
          <w:color w:val="000000" w:themeColor="text1"/>
          <w:sz w:val="24"/>
          <w:szCs w:val="24"/>
        </w:rPr>
        <w:t xml:space="preserve"> </w:t>
      </w:r>
      <w:r w:rsidR="00E7469B" w:rsidRPr="00A34E01">
        <w:rPr>
          <w:rFonts w:ascii="Arial" w:hAnsi="Arial" w:cs="Arial"/>
          <w:color w:val="000000" w:themeColor="text1"/>
          <w:sz w:val="24"/>
          <w:szCs w:val="24"/>
          <w:lang w:val="en-US"/>
        </w:rPr>
        <w:t>al</w:t>
      </w:r>
      <w:r w:rsidR="00E7469B" w:rsidRPr="00A34E01">
        <w:rPr>
          <w:rFonts w:ascii="Arial" w:hAnsi="Arial" w:cs="Arial"/>
          <w:color w:val="000000" w:themeColor="text1"/>
          <w:sz w:val="24"/>
          <w:szCs w:val="24"/>
        </w:rPr>
        <w:t xml:space="preserve">., 2020; </w:t>
      </w:r>
      <w:r w:rsidR="00E7469B" w:rsidRPr="00A34E01">
        <w:rPr>
          <w:rFonts w:ascii="Arial" w:hAnsi="Arial" w:cs="Arial"/>
          <w:color w:val="000000" w:themeColor="text1"/>
          <w:sz w:val="24"/>
          <w:szCs w:val="24"/>
          <w:lang w:val="en-US"/>
        </w:rPr>
        <w:t>Liu</w:t>
      </w:r>
      <w:r w:rsidR="00E7469B" w:rsidRPr="00A34E01">
        <w:rPr>
          <w:rFonts w:ascii="Arial" w:hAnsi="Arial" w:cs="Arial"/>
          <w:color w:val="000000" w:themeColor="text1"/>
          <w:sz w:val="24"/>
          <w:szCs w:val="24"/>
        </w:rPr>
        <w:t xml:space="preserve"> </w:t>
      </w:r>
      <w:r w:rsidR="00E7469B" w:rsidRPr="00A34E01">
        <w:rPr>
          <w:rFonts w:ascii="Arial" w:hAnsi="Arial" w:cs="Arial"/>
          <w:color w:val="000000" w:themeColor="text1"/>
          <w:sz w:val="24"/>
          <w:szCs w:val="24"/>
          <w:lang w:val="en-US"/>
        </w:rPr>
        <w:t>C</w:t>
      </w:r>
      <w:r w:rsidR="00E7469B" w:rsidRPr="00A34E01">
        <w:rPr>
          <w:rFonts w:ascii="Arial" w:hAnsi="Arial" w:cs="Arial"/>
          <w:color w:val="000000" w:themeColor="text1"/>
          <w:sz w:val="24"/>
          <w:szCs w:val="24"/>
        </w:rPr>
        <w:t xml:space="preserve">. </w:t>
      </w:r>
      <w:r w:rsidR="00E7469B" w:rsidRPr="00A34E01">
        <w:rPr>
          <w:rFonts w:ascii="Arial" w:hAnsi="Arial" w:cs="Arial"/>
          <w:color w:val="000000" w:themeColor="text1"/>
          <w:sz w:val="24"/>
          <w:szCs w:val="24"/>
          <w:lang w:val="en-US"/>
        </w:rPr>
        <w:t>et</w:t>
      </w:r>
      <w:r w:rsidR="00E7469B" w:rsidRPr="00A34E01">
        <w:rPr>
          <w:rFonts w:ascii="Arial" w:hAnsi="Arial" w:cs="Arial"/>
          <w:color w:val="000000" w:themeColor="text1"/>
          <w:sz w:val="24"/>
          <w:szCs w:val="24"/>
        </w:rPr>
        <w:t xml:space="preserve"> </w:t>
      </w:r>
      <w:r w:rsidR="00E7469B" w:rsidRPr="00A34E01">
        <w:rPr>
          <w:rFonts w:ascii="Arial" w:hAnsi="Arial" w:cs="Arial"/>
          <w:color w:val="000000" w:themeColor="text1"/>
          <w:sz w:val="24"/>
          <w:szCs w:val="24"/>
          <w:lang w:val="en-US"/>
        </w:rPr>
        <w:t>al</w:t>
      </w:r>
      <w:r w:rsidR="00E7469B" w:rsidRPr="00A34E01">
        <w:rPr>
          <w:rFonts w:ascii="Arial" w:hAnsi="Arial" w:cs="Arial"/>
          <w:color w:val="000000" w:themeColor="text1"/>
          <w:sz w:val="24"/>
          <w:szCs w:val="24"/>
        </w:rPr>
        <w:t>., 2020</w:t>
      </w:r>
      <w:r w:rsidRPr="00A34E01">
        <w:rPr>
          <w:rFonts w:ascii="Arial" w:hAnsi="Arial" w:cs="Arial"/>
          <w:color w:val="000000" w:themeColor="text1"/>
          <w:sz w:val="24"/>
          <w:szCs w:val="24"/>
        </w:rPr>
        <w:t xml:space="preserve">]. </w:t>
      </w:r>
    </w:p>
    <w:p w:rsidR="00884538" w:rsidRPr="00A34E01" w:rsidRDefault="00884538" w:rsidP="00A34E01">
      <w:pPr>
        <w:spacing w:after="0" w:line="360" w:lineRule="auto"/>
        <w:ind w:firstLine="567"/>
        <w:jc w:val="both"/>
        <w:rPr>
          <w:rFonts w:ascii="Arial" w:hAnsi="Arial" w:cs="Arial"/>
          <w:color w:val="000000" w:themeColor="text1"/>
          <w:sz w:val="24"/>
          <w:szCs w:val="24"/>
        </w:rPr>
      </w:pPr>
      <w:r w:rsidRPr="00A34E01">
        <w:rPr>
          <w:rFonts w:ascii="Arial" w:hAnsi="Arial" w:cs="Arial"/>
          <w:color w:val="000000" w:themeColor="text1"/>
          <w:sz w:val="24"/>
          <w:szCs w:val="24"/>
        </w:rPr>
        <w:t xml:space="preserve">Первым из описанных пероральных низкомолекулярных индукторов интерферона </w:t>
      </w:r>
      <w:r w:rsidR="000C5315" w:rsidRPr="00A34E01">
        <w:rPr>
          <w:rFonts w:ascii="Arial" w:hAnsi="Arial" w:cs="Arial"/>
          <w:color w:val="000000" w:themeColor="text1"/>
          <w:sz w:val="24"/>
          <w:szCs w:val="24"/>
        </w:rPr>
        <w:t>считается</w:t>
      </w:r>
      <w:r w:rsidRPr="00A34E01">
        <w:rPr>
          <w:rFonts w:ascii="Arial" w:hAnsi="Arial" w:cs="Arial"/>
          <w:color w:val="000000" w:themeColor="text1"/>
          <w:sz w:val="24"/>
          <w:szCs w:val="24"/>
        </w:rPr>
        <w:t xml:space="preserve"> </w:t>
      </w:r>
      <w:proofErr w:type="spellStart"/>
      <w:r w:rsidRPr="00A34E01">
        <w:rPr>
          <w:rFonts w:ascii="Arial" w:hAnsi="Arial" w:cs="Arial"/>
          <w:color w:val="000000" w:themeColor="text1"/>
          <w:sz w:val="24"/>
          <w:szCs w:val="24"/>
        </w:rPr>
        <w:t>тилорона</w:t>
      </w:r>
      <w:proofErr w:type="spellEnd"/>
      <w:r w:rsidRPr="00A34E01">
        <w:rPr>
          <w:rFonts w:ascii="Arial" w:hAnsi="Arial" w:cs="Arial"/>
          <w:color w:val="000000" w:themeColor="text1"/>
          <w:sz w:val="24"/>
          <w:szCs w:val="24"/>
        </w:rPr>
        <w:t xml:space="preserve"> </w:t>
      </w:r>
      <w:r w:rsidRPr="00A34E01">
        <w:rPr>
          <w:rFonts w:ascii="Arial" w:hAnsi="Arial" w:cs="Arial"/>
          <w:color w:val="000000" w:themeColor="text1"/>
          <w:sz w:val="24"/>
          <w:szCs w:val="24"/>
          <w:shd w:val="clear" w:color="auto" w:fill="FFFFFF"/>
        </w:rPr>
        <w:t>гидрохлорид (2,7-бис-[2-(</w:t>
      </w:r>
      <w:proofErr w:type="spellStart"/>
      <w:proofErr w:type="gramStart"/>
      <w:r w:rsidRPr="00A34E01">
        <w:rPr>
          <w:rFonts w:ascii="Arial" w:hAnsi="Arial" w:cs="Arial"/>
          <w:color w:val="000000" w:themeColor="text1"/>
          <w:sz w:val="24"/>
          <w:szCs w:val="24"/>
          <w:shd w:val="clear" w:color="auto" w:fill="FFFFFF"/>
        </w:rPr>
        <w:t>диэтиламино</w:t>
      </w:r>
      <w:proofErr w:type="spellEnd"/>
      <w:r w:rsidRPr="00A34E01">
        <w:rPr>
          <w:rFonts w:ascii="Arial" w:hAnsi="Arial" w:cs="Arial"/>
          <w:color w:val="000000" w:themeColor="text1"/>
          <w:sz w:val="24"/>
          <w:szCs w:val="24"/>
          <w:shd w:val="clear" w:color="auto" w:fill="FFFFFF"/>
        </w:rPr>
        <w:t>)</w:t>
      </w:r>
      <w:proofErr w:type="spellStart"/>
      <w:r w:rsidRPr="00A34E01">
        <w:rPr>
          <w:rFonts w:ascii="Arial" w:hAnsi="Arial" w:cs="Arial"/>
          <w:color w:val="000000" w:themeColor="text1"/>
          <w:sz w:val="24"/>
          <w:szCs w:val="24"/>
          <w:shd w:val="clear" w:color="auto" w:fill="FFFFFF"/>
        </w:rPr>
        <w:t>этокси</w:t>
      </w:r>
      <w:proofErr w:type="spellEnd"/>
      <w:proofErr w:type="gramEnd"/>
      <w:r w:rsidRPr="00A34E01">
        <w:rPr>
          <w:rFonts w:ascii="Arial" w:hAnsi="Arial" w:cs="Arial"/>
          <w:color w:val="000000" w:themeColor="text1"/>
          <w:sz w:val="24"/>
          <w:szCs w:val="24"/>
          <w:shd w:val="clear" w:color="auto" w:fill="FFFFFF"/>
        </w:rPr>
        <w:t>]флуоренон-9)</w:t>
      </w:r>
      <w:r w:rsidRPr="00A34E01">
        <w:rPr>
          <w:rFonts w:ascii="Arial" w:hAnsi="Arial" w:cs="Arial"/>
          <w:color w:val="000000" w:themeColor="text1"/>
          <w:sz w:val="24"/>
          <w:szCs w:val="24"/>
        </w:rPr>
        <w:t xml:space="preserve">, оригинально синтезированный фармацевтической компанией </w:t>
      </w:r>
      <w:r w:rsidRPr="00A34E01">
        <w:rPr>
          <w:rFonts w:ascii="Arial" w:hAnsi="Arial" w:cs="Arial"/>
          <w:color w:val="000000" w:themeColor="text1"/>
          <w:sz w:val="24"/>
          <w:szCs w:val="24"/>
          <w:lang w:val="en-US"/>
        </w:rPr>
        <w:t>Merrell</w:t>
      </w:r>
      <w:r w:rsidRPr="00A34E01">
        <w:rPr>
          <w:rFonts w:ascii="Arial" w:hAnsi="Arial" w:cs="Arial"/>
          <w:color w:val="000000" w:themeColor="text1"/>
          <w:sz w:val="24"/>
          <w:szCs w:val="24"/>
        </w:rPr>
        <w:t xml:space="preserve"> </w:t>
      </w:r>
      <w:r w:rsidRPr="00A34E01">
        <w:rPr>
          <w:rFonts w:ascii="Arial" w:hAnsi="Arial" w:cs="Arial"/>
          <w:color w:val="000000" w:themeColor="text1"/>
          <w:sz w:val="24"/>
          <w:szCs w:val="24"/>
          <w:lang w:val="en-US"/>
        </w:rPr>
        <w:t>Dow</w:t>
      </w:r>
      <w:r w:rsidRPr="00A34E01">
        <w:rPr>
          <w:rFonts w:ascii="Arial" w:hAnsi="Arial" w:cs="Arial"/>
          <w:color w:val="000000" w:themeColor="text1"/>
          <w:sz w:val="24"/>
          <w:szCs w:val="24"/>
        </w:rPr>
        <w:t xml:space="preserve"> в 1968 году [</w:t>
      </w:r>
      <w:proofErr w:type="spellStart"/>
      <w:r w:rsidR="00AE0FFA" w:rsidRPr="00A34E01">
        <w:rPr>
          <w:rFonts w:ascii="Arial" w:hAnsi="Arial" w:cs="Arial"/>
          <w:color w:val="000000" w:themeColor="text1"/>
          <w:sz w:val="24"/>
          <w:szCs w:val="24"/>
        </w:rPr>
        <w:t>Ермольева</w:t>
      </w:r>
      <w:proofErr w:type="spellEnd"/>
      <w:r w:rsidR="00AE0FFA" w:rsidRPr="00A34E01">
        <w:rPr>
          <w:rFonts w:ascii="Arial" w:hAnsi="Arial" w:cs="Arial"/>
          <w:color w:val="000000" w:themeColor="text1"/>
          <w:sz w:val="24"/>
          <w:szCs w:val="24"/>
        </w:rPr>
        <w:t xml:space="preserve"> 3.В. и др., 1973; </w:t>
      </w:r>
      <w:proofErr w:type="spellStart"/>
      <w:r w:rsidR="00AE0FFA" w:rsidRPr="00A34E01">
        <w:rPr>
          <w:rFonts w:ascii="Arial" w:hAnsi="Arial" w:cs="Arial"/>
          <w:color w:val="000000" w:themeColor="text1"/>
          <w:sz w:val="24"/>
          <w:szCs w:val="24"/>
          <w:lang w:val="en-US"/>
        </w:rPr>
        <w:t>Stringfellow</w:t>
      </w:r>
      <w:proofErr w:type="spellEnd"/>
      <w:r w:rsidR="00AE0FFA" w:rsidRPr="00A34E01">
        <w:rPr>
          <w:rFonts w:ascii="Arial" w:hAnsi="Arial" w:cs="Arial"/>
          <w:color w:val="000000" w:themeColor="text1"/>
          <w:sz w:val="24"/>
          <w:szCs w:val="24"/>
        </w:rPr>
        <w:t xml:space="preserve"> </w:t>
      </w:r>
      <w:r w:rsidR="00AE0FFA" w:rsidRPr="00A34E01">
        <w:rPr>
          <w:rFonts w:ascii="Arial" w:hAnsi="Arial" w:cs="Arial"/>
          <w:color w:val="000000" w:themeColor="text1"/>
          <w:sz w:val="24"/>
          <w:szCs w:val="24"/>
          <w:lang w:val="en-US"/>
        </w:rPr>
        <w:t>D</w:t>
      </w:r>
      <w:r w:rsidR="00AE0FFA" w:rsidRPr="00A34E01">
        <w:rPr>
          <w:rFonts w:ascii="Arial" w:hAnsi="Arial" w:cs="Arial"/>
          <w:color w:val="000000" w:themeColor="text1"/>
          <w:sz w:val="24"/>
          <w:szCs w:val="24"/>
        </w:rPr>
        <w:t>.</w:t>
      </w:r>
      <w:r w:rsidR="00AE0FFA" w:rsidRPr="00A34E01">
        <w:rPr>
          <w:rFonts w:ascii="Arial" w:hAnsi="Arial" w:cs="Arial"/>
          <w:color w:val="000000" w:themeColor="text1"/>
          <w:sz w:val="24"/>
          <w:szCs w:val="24"/>
          <w:lang w:val="en-US"/>
        </w:rPr>
        <w:t>A</w:t>
      </w:r>
      <w:r w:rsidR="00AE0FFA" w:rsidRPr="00A34E01">
        <w:rPr>
          <w:rFonts w:ascii="Arial" w:hAnsi="Arial" w:cs="Arial"/>
          <w:color w:val="000000" w:themeColor="text1"/>
          <w:sz w:val="24"/>
          <w:szCs w:val="24"/>
        </w:rPr>
        <w:t xml:space="preserve">. </w:t>
      </w:r>
      <w:r w:rsidR="00AE0FFA" w:rsidRPr="00A34E01">
        <w:rPr>
          <w:rFonts w:ascii="Arial" w:hAnsi="Arial" w:cs="Arial"/>
          <w:color w:val="000000" w:themeColor="text1"/>
          <w:sz w:val="24"/>
          <w:szCs w:val="24"/>
          <w:lang w:val="en-US"/>
        </w:rPr>
        <w:t>et</w:t>
      </w:r>
      <w:r w:rsidR="00AE0FFA" w:rsidRPr="00A34E01">
        <w:rPr>
          <w:rFonts w:ascii="Arial" w:hAnsi="Arial" w:cs="Arial"/>
          <w:color w:val="000000" w:themeColor="text1"/>
          <w:sz w:val="24"/>
          <w:szCs w:val="24"/>
        </w:rPr>
        <w:t xml:space="preserve"> </w:t>
      </w:r>
      <w:r w:rsidR="00AE0FFA" w:rsidRPr="00A34E01">
        <w:rPr>
          <w:rFonts w:ascii="Arial" w:hAnsi="Arial" w:cs="Arial"/>
          <w:color w:val="000000" w:themeColor="text1"/>
          <w:sz w:val="24"/>
          <w:szCs w:val="24"/>
          <w:lang w:val="en-US"/>
        </w:rPr>
        <w:t>al</w:t>
      </w:r>
      <w:r w:rsidR="00AE0FFA" w:rsidRPr="00A34E01">
        <w:rPr>
          <w:rFonts w:ascii="Arial" w:hAnsi="Arial" w:cs="Arial"/>
          <w:color w:val="000000" w:themeColor="text1"/>
          <w:sz w:val="24"/>
          <w:szCs w:val="24"/>
        </w:rPr>
        <w:t xml:space="preserve">., 1972; </w:t>
      </w:r>
      <w:r w:rsidR="00AE0FFA" w:rsidRPr="00A34E01">
        <w:rPr>
          <w:rStyle w:val="a4"/>
          <w:rFonts w:ascii="Arial" w:hAnsi="Arial" w:cs="Arial"/>
          <w:color w:val="000000" w:themeColor="text1"/>
          <w:sz w:val="24"/>
          <w:szCs w:val="24"/>
          <w:bdr w:val="none" w:sz="0" w:space="0" w:color="auto" w:frame="1"/>
          <w:shd w:val="clear" w:color="auto" w:fill="FFFFFF"/>
          <w:lang w:val="en-US"/>
        </w:rPr>
        <w:t>Andrews</w:t>
      </w:r>
      <w:r w:rsidR="00AE0FFA" w:rsidRPr="00A34E01">
        <w:rPr>
          <w:rStyle w:val="a4"/>
          <w:rFonts w:ascii="Arial" w:hAnsi="Arial" w:cs="Arial"/>
          <w:color w:val="000000" w:themeColor="text1"/>
          <w:sz w:val="24"/>
          <w:szCs w:val="24"/>
          <w:bdr w:val="none" w:sz="0" w:space="0" w:color="auto" w:frame="1"/>
          <w:shd w:val="clear" w:color="auto" w:fill="FFFFFF"/>
        </w:rPr>
        <w:t xml:space="preserve"> </w:t>
      </w:r>
      <w:r w:rsidR="00AE0FFA" w:rsidRPr="00A34E01">
        <w:rPr>
          <w:rStyle w:val="a4"/>
          <w:rFonts w:ascii="Arial" w:hAnsi="Arial" w:cs="Arial"/>
          <w:color w:val="000000" w:themeColor="text1"/>
          <w:sz w:val="24"/>
          <w:szCs w:val="24"/>
          <w:bdr w:val="none" w:sz="0" w:space="0" w:color="auto" w:frame="1"/>
          <w:shd w:val="clear" w:color="auto" w:fill="FFFFFF"/>
          <w:lang w:val="en-US"/>
        </w:rPr>
        <w:t>E</w:t>
      </w:r>
      <w:r w:rsidR="00AE0FFA" w:rsidRPr="00A34E01">
        <w:rPr>
          <w:rStyle w:val="a4"/>
          <w:rFonts w:ascii="Arial" w:hAnsi="Arial" w:cs="Arial"/>
          <w:color w:val="000000" w:themeColor="text1"/>
          <w:sz w:val="24"/>
          <w:szCs w:val="24"/>
          <w:bdr w:val="none" w:sz="0" w:space="0" w:color="auto" w:frame="1"/>
          <w:shd w:val="clear" w:color="auto" w:fill="FFFFFF"/>
        </w:rPr>
        <w:t>.</w:t>
      </w:r>
      <w:r w:rsidR="00AE0FFA" w:rsidRPr="00A34E01">
        <w:rPr>
          <w:rStyle w:val="a4"/>
          <w:rFonts w:ascii="Arial" w:hAnsi="Arial" w:cs="Arial"/>
          <w:color w:val="000000" w:themeColor="text1"/>
          <w:sz w:val="24"/>
          <w:szCs w:val="24"/>
          <w:bdr w:val="none" w:sz="0" w:space="0" w:color="auto" w:frame="1"/>
          <w:shd w:val="clear" w:color="auto" w:fill="FFFFFF"/>
          <w:lang w:val="en-US"/>
        </w:rPr>
        <w:t>R</w:t>
      </w:r>
      <w:r w:rsidR="00EB41AB" w:rsidRPr="00A34E01">
        <w:rPr>
          <w:rStyle w:val="a4"/>
          <w:rFonts w:ascii="Arial" w:hAnsi="Arial" w:cs="Arial"/>
          <w:color w:val="000000" w:themeColor="text1"/>
          <w:sz w:val="24"/>
          <w:szCs w:val="24"/>
          <w:bdr w:val="none" w:sz="0" w:space="0" w:color="auto" w:frame="1"/>
          <w:shd w:val="clear" w:color="auto" w:fill="FFFFFF"/>
        </w:rPr>
        <w:t xml:space="preserve">. </w:t>
      </w:r>
      <w:proofErr w:type="spellStart"/>
      <w:r w:rsidR="00EB41AB" w:rsidRPr="00A34E01">
        <w:rPr>
          <w:rStyle w:val="a4"/>
          <w:rFonts w:ascii="Arial" w:hAnsi="Arial" w:cs="Arial"/>
          <w:color w:val="000000" w:themeColor="text1"/>
          <w:sz w:val="24"/>
          <w:szCs w:val="24"/>
          <w:bdr w:val="none" w:sz="0" w:space="0" w:color="auto" w:frame="1"/>
          <w:shd w:val="clear" w:color="auto" w:fill="FFFFFF"/>
        </w:rPr>
        <w:t>et</w:t>
      </w:r>
      <w:proofErr w:type="spellEnd"/>
      <w:r w:rsidR="00EB41AB" w:rsidRPr="00A34E01">
        <w:rPr>
          <w:rStyle w:val="a4"/>
          <w:rFonts w:ascii="Arial" w:hAnsi="Arial" w:cs="Arial"/>
          <w:color w:val="000000" w:themeColor="text1"/>
          <w:sz w:val="24"/>
          <w:szCs w:val="24"/>
          <w:bdr w:val="none" w:sz="0" w:space="0" w:color="auto" w:frame="1"/>
          <w:shd w:val="clear" w:color="auto" w:fill="FFFFFF"/>
        </w:rPr>
        <w:t xml:space="preserve"> </w:t>
      </w:r>
      <w:proofErr w:type="spellStart"/>
      <w:r w:rsidR="00EB41AB" w:rsidRPr="00A34E01">
        <w:rPr>
          <w:rStyle w:val="a4"/>
          <w:rFonts w:ascii="Arial" w:hAnsi="Arial" w:cs="Arial"/>
          <w:color w:val="000000" w:themeColor="text1"/>
          <w:sz w:val="24"/>
          <w:szCs w:val="24"/>
          <w:bdr w:val="none" w:sz="0" w:space="0" w:color="auto" w:frame="1"/>
          <w:shd w:val="clear" w:color="auto" w:fill="FFFFFF"/>
        </w:rPr>
        <w:t>al</w:t>
      </w:r>
      <w:proofErr w:type="spellEnd"/>
      <w:r w:rsidR="00EB41AB" w:rsidRPr="00A34E01">
        <w:rPr>
          <w:rStyle w:val="a4"/>
          <w:rFonts w:ascii="Arial" w:hAnsi="Arial" w:cs="Arial"/>
          <w:color w:val="000000" w:themeColor="text1"/>
          <w:sz w:val="24"/>
          <w:szCs w:val="24"/>
          <w:bdr w:val="none" w:sz="0" w:space="0" w:color="auto" w:frame="1"/>
          <w:shd w:val="clear" w:color="auto" w:fill="FFFFFF"/>
        </w:rPr>
        <w:t>.</w:t>
      </w:r>
      <w:r w:rsidR="00AE0FFA" w:rsidRPr="00A34E01">
        <w:rPr>
          <w:rStyle w:val="a4"/>
          <w:rFonts w:ascii="Arial" w:hAnsi="Arial" w:cs="Arial"/>
          <w:color w:val="000000" w:themeColor="text1"/>
          <w:sz w:val="24"/>
          <w:szCs w:val="24"/>
          <w:bdr w:val="none" w:sz="0" w:space="0" w:color="auto" w:frame="1"/>
          <w:shd w:val="clear" w:color="auto" w:fill="FFFFFF"/>
        </w:rPr>
        <w:t>, 1974</w:t>
      </w:r>
      <w:r w:rsidRPr="00A34E01">
        <w:rPr>
          <w:rFonts w:ascii="Arial" w:hAnsi="Arial" w:cs="Arial"/>
          <w:color w:val="000000" w:themeColor="text1"/>
          <w:sz w:val="24"/>
          <w:szCs w:val="24"/>
        </w:rPr>
        <w:t xml:space="preserve">]. Препарат стимулирует выработку интерферонов основных типов – альфа, бета, гамма и лямбда. </w:t>
      </w:r>
      <w:r w:rsidRPr="00A34E01">
        <w:rPr>
          <w:rFonts w:ascii="Arial" w:hAnsi="Arial" w:cs="Arial"/>
          <w:color w:val="000000" w:themeColor="text1"/>
          <w:sz w:val="24"/>
          <w:szCs w:val="24"/>
          <w:shd w:val="clear" w:color="auto" w:fill="FFFFFF"/>
        </w:rPr>
        <w:t xml:space="preserve">Возможность применения </w:t>
      </w:r>
      <w:proofErr w:type="spellStart"/>
      <w:r w:rsidRPr="00A34E01">
        <w:rPr>
          <w:rFonts w:ascii="Arial" w:hAnsi="Arial" w:cs="Arial"/>
          <w:color w:val="000000" w:themeColor="text1"/>
          <w:sz w:val="24"/>
          <w:szCs w:val="24"/>
          <w:shd w:val="clear" w:color="auto" w:fill="FFFFFF"/>
        </w:rPr>
        <w:t>тилорона</w:t>
      </w:r>
      <w:proofErr w:type="spellEnd"/>
      <w:r w:rsidRPr="00A34E01">
        <w:rPr>
          <w:rFonts w:ascii="Arial" w:hAnsi="Arial" w:cs="Arial"/>
          <w:color w:val="000000" w:themeColor="text1"/>
          <w:sz w:val="24"/>
          <w:szCs w:val="24"/>
          <w:shd w:val="clear" w:color="auto" w:fill="FFFFFF"/>
        </w:rPr>
        <w:t xml:space="preserve"> в качестве универсального иммуномодулятора, оказывающего вариабельные эффекты на продукцию интерферонов и других </w:t>
      </w:r>
      <w:proofErr w:type="spellStart"/>
      <w:r w:rsidRPr="00A34E01">
        <w:rPr>
          <w:rFonts w:ascii="Arial" w:hAnsi="Arial" w:cs="Arial"/>
          <w:color w:val="000000" w:themeColor="text1"/>
          <w:sz w:val="24"/>
          <w:szCs w:val="24"/>
          <w:shd w:val="clear" w:color="auto" w:fill="FFFFFF"/>
        </w:rPr>
        <w:t>провоспалительных</w:t>
      </w:r>
      <w:proofErr w:type="spellEnd"/>
      <w:r w:rsidRPr="00A34E01">
        <w:rPr>
          <w:rFonts w:ascii="Arial" w:hAnsi="Arial" w:cs="Arial"/>
          <w:color w:val="000000" w:themeColor="text1"/>
          <w:sz w:val="24"/>
          <w:szCs w:val="24"/>
          <w:shd w:val="clear" w:color="auto" w:fill="FFFFFF"/>
        </w:rPr>
        <w:t xml:space="preserve"> цитокинов в зависимости от схемы назначения, исходного состояния </w:t>
      </w:r>
      <w:proofErr w:type="spellStart"/>
      <w:r w:rsidRPr="00A34E01">
        <w:rPr>
          <w:rFonts w:ascii="Arial" w:hAnsi="Arial" w:cs="Arial"/>
          <w:color w:val="000000" w:themeColor="text1"/>
          <w:sz w:val="24"/>
          <w:szCs w:val="24"/>
          <w:shd w:val="clear" w:color="auto" w:fill="FFFFFF"/>
        </w:rPr>
        <w:t>макроорганизма</w:t>
      </w:r>
      <w:proofErr w:type="spellEnd"/>
      <w:r w:rsidRPr="00A34E01">
        <w:rPr>
          <w:rFonts w:ascii="Arial" w:hAnsi="Arial" w:cs="Arial"/>
          <w:color w:val="000000" w:themeColor="text1"/>
          <w:sz w:val="24"/>
          <w:szCs w:val="24"/>
          <w:shd w:val="clear" w:color="auto" w:fill="FFFFFF"/>
        </w:rPr>
        <w:t>, фазы инфекционного процесса, обсуждается в течение последних нескольких десятилетий. Известные свойства этого препарата позволяют сдвигать баланс повреждения и интенсивности иммунного ответа в зону относительно низкой вероятности тяжелого течения респираторной инфекции [</w:t>
      </w:r>
      <w:proofErr w:type="spellStart"/>
      <w:r w:rsidR="00AE0FFA" w:rsidRPr="00A34E01">
        <w:rPr>
          <w:rStyle w:val="a4"/>
          <w:rFonts w:ascii="Arial" w:hAnsi="Arial" w:cs="Arial"/>
          <w:color w:val="000000" w:themeColor="text1"/>
          <w:sz w:val="24"/>
          <w:szCs w:val="24"/>
          <w:bdr w:val="none" w:sz="0" w:space="0" w:color="auto" w:frame="1"/>
          <w:shd w:val="clear" w:color="auto" w:fill="FFFFFF"/>
        </w:rPr>
        <w:t>Калюжин</w:t>
      </w:r>
      <w:proofErr w:type="spellEnd"/>
      <w:r w:rsidR="00AE0FFA" w:rsidRPr="00A34E01">
        <w:rPr>
          <w:rStyle w:val="a4"/>
          <w:rFonts w:ascii="Arial" w:hAnsi="Arial" w:cs="Arial"/>
          <w:color w:val="000000" w:themeColor="text1"/>
          <w:sz w:val="24"/>
          <w:szCs w:val="24"/>
          <w:bdr w:val="none" w:sz="0" w:space="0" w:color="auto" w:frame="1"/>
          <w:shd w:val="clear" w:color="auto" w:fill="FFFFFF"/>
        </w:rPr>
        <w:t xml:space="preserve"> О.В., 2013</w:t>
      </w:r>
      <w:r w:rsidRPr="00A34E01">
        <w:rPr>
          <w:rFonts w:ascii="Arial" w:hAnsi="Arial" w:cs="Arial"/>
          <w:color w:val="000000" w:themeColor="text1"/>
          <w:sz w:val="24"/>
          <w:szCs w:val="24"/>
          <w:shd w:val="clear" w:color="auto" w:fill="FFFFFF"/>
        </w:rPr>
        <w:t xml:space="preserve">]. Также установлена способность </w:t>
      </w:r>
      <w:proofErr w:type="spellStart"/>
      <w:r w:rsidRPr="00A34E01">
        <w:rPr>
          <w:rFonts w:ascii="Arial" w:hAnsi="Arial" w:cs="Arial"/>
          <w:color w:val="000000" w:themeColor="text1"/>
          <w:sz w:val="24"/>
          <w:szCs w:val="24"/>
          <w:shd w:val="clear" w:color="auto" w:fill="FFFFFF"/>
        </w:rPr>
        <w:t>тилорона</w:t>
      </w:r>
      <w:proofErr w:type="spellEnd"/>
      <w:r w:rsidRPr="00A34E01">
        <w:rPr>
          <w:rFonts w:ascii="Arial" w:hAnsi="Arial" w:cs="Arial"/>
          <w:color w:val="000000" w:themeColor="text1"/>
          <w:sz w:val="24"/>
          <w:szCs w:val="24"/>
          <w:shd w:val="clear" w:color="auto" w:fill="FFFFFF"/>
        </w:rPr>
        <w:t xml:space="preserve"> обеспечить временную </w:t>
      </w:r>
      <w:proofErr w:type="spellStart"/>
      <w:r w:rsidRPr="00A34E01">
        <w:rPr>
          <w:rFonts w:ascii="Arial" w:hAnsi="Arial" w:cs="Arial"/>
          <w:color w:val="000000" w:themeColor="text1"/>
          <w:sz w:val="24"/>
          <w:szCs w:val="24"/>
          <w:shd w:val="clear" w:color="auto" w:fill="FFFFFF"/>
        </w:rPr>
        <w:t>супрессию</w:t>
      </w:r>
      <w:proofErr w:type="spellEnd"/>
      <w:r w:rsidRPr="00A34E01">
        <w:rPr>
          <w:rFonts w:ascii="Arial" w:hAnsi="Arial" w:cs="Arial"/>
          <w:color w:val="000000" w:themeColor="text1"/>
          <w:sz w:val="24"/>
          <w:szCs w:val="24"/>
          <w:shd w:val="clear" w:color="auto" w:fill="FFFFFF"/>
        </w:rPr>
        <w:t xml:space="preserve"> избыточной продукции эндогенных медиаторов повреждения </w:t>
      </w:r>
      <w:proofErr w:type="spellStart"/>
      <w:r w:rsidRPr="00A34E01">
        <w:rPr>
          <w:rFonts w:ascii="Arial" w:hAnsi="Arial" w:cs="Arial"/>
          <w:color w:val="000000" w:themeColor="text1"/>
          <w:sz w:val="24"/>
          <w:szCs w:val="24"/>
          <w:shd w:val="clear" w:color="auto" w:fill="FFFFFF"/>
        </w:rPr>
        <w:t>макроорганизма</w:t>
      </w:r>
      <w:proofErr w:type="spellEnd"/>
      <w:r w:rsidRPr="00A34E01">
        <w:rPr>
          <w:rFonts w:ascii="Arial" w:hAnsi="Arial" w:cs="Arial"/>
          <w:color w:val="000000" w:themeColor="text1"/>
          <w:sz w:val="24"/>
          <w:szCs w:val="24"/>
          <w:shd w:val="clear" w:color="auto" w:fill="FFFFFF"/>
        </w:rPr>
        <w:t xml:space="preserve"> в острую фазу респираторной инфекции [</w:t>
      </w:r>
      <w:r w:rsidR="00AE0FFA" w:rsidRPr="00A34E01">
        <w:rPr>
          <w:rFonts w:ascii="Arial" w:hAnsi="Arial" w:cs="Arial"/>
          <w:color w:val="000000" w:themeColor="text1"/>
          <w:sz w:val="24"/>
          <w:szCs w:val="24"/>
          <w:shd w:val="clear" w:color="auto" w:fill="FFFFFF"/>
        </w:rPr>
        <w:t>Караулов А.В. и др., 2000</w:t>
      </w:r>
      <w:r w:rsidR="00EB41AB" w:rsidRPr="00A34E01">
        <w:rPr>
          <w:rFonts w:ascii="Arial" w:hAnsi="Arial" w:cs="Arial"/>
          <w:color w:val="000000" w:themeColor="text1"/>
          <w:sz w:val="24"/>
          <w:szCs w:val="24"/>
          <w:shd w:val="clear" w:color="auto" w:fill="FFFFFF"/>
        </w:rPr>
        <w:t>, 2002</w:t>
      </w:r>
      <w:r w:rsidR="00AE0FFA" w:rsidRPr="00A34E01">
        <w:rPr>
          <w:rFonts w:ascii="Arial" w:hAnsi="Arial" w:cs="Arial"/>
          <w:color w:val="000000" w:themeColor="text1"/>
          <w:sz w:val="24"/>
          <w:szCs w:val="24"/>
          <w:shd w:val="clear" w:color="auto" w:fill="FFFFFF"/>
        </w:rPr>
        <w:t xml:space="preserve">; </w:t>
      </w:r>
      <w:proofErr w:type="spellStart"/>
      <w:r w:rsidR="00AE0FFA" w:rsidRPr="00A34E01">
        <w:rPr>
          <w:rFonts w:ascii="Arial" w:hAnsi="Arial" w:cs="Arial"/>
          <w:color w:val="000000" w:themeColor="text1"/>
          <w:sz w:val="24"/>
          <w:szCs w:val="24"/>
          <w:shd w:val="clear" w:color="auto" w:fill="FFFFFF"/>
        </w:rPr>
        <w:t>Абидов</w:t>
      </w:r>
      <w:proofErr w:type="spellEnd"/>
      <w:r w:rsidR="00AE0FFA" w:rsidRPr="00A34E01">
        <w:rPr>
          <w:rFonts w:ascii="Arial" w:hAnsi="Arial" w:cs="Arial"/>
          <w:color w:val="000000" w:themeColor="text1"/>
          <w:sz w:val="24"/>
          <w:szCs w:val="24"/>
          <w:shd w:val="clear" w:color="auto" w:fill="FFFFFF"/>
        </w:rPr>
        <w:t xml:space="preserve"> М.Т. и др., 2001</w:t>
      </w:r>
      <w:r w:rsidR="00EB41AB" w:rsidRPr="00A34E01">
        <w:rPr>
          <w:rFonts w:ascii="Arial" w:hAnsi="Arial" w:cs="Arial"/>
          <w:color w:val="000000" w:themeColor="text1"/>
          <w:sz w:val="24"/>
          <w:szCs w:val="24"/>
          <w:shd w:val="clear" w:color="auto" w:fill="FFFFFF"/>
        </w:rPr>
        <w:t>, 2004</w:t>
      </w:r>
      <w:r w:rsidRPr="00A34E01">
        <w:rPr>
          <w:rFonts w:ascii="Arial" w:hAnsi="Arial" w:cs="Arial"/>
          <w:color w:val="000000" w:themeColor="text1"/>
          <w:sz w:val="24"/>
          <w:szCs w:val="24"/>
          <w:shd w:val="clear" w:color="auto" w:fill="FFFFFF"/>
        </w:rPr>
        <w:t>].</w:t>
      </w:r>
    </w:p>
    <w:p w:rsidR="00884538" w:rsidRPr="00A34E01" w:rsidRDefault="00884538" w:rsidP="00A34E01">
      <w:pPr>
        <w:spacing w:after="0" w:line="360" w:lineRule="auto"/>
        <w:ind w:firstLine="567"/>
        <w:jc w:val="both"/>
        <w:rPr>
          <w:rFonts w:ascii="Arial" w:hAnsi="Arial" w:cs="Arial"/>
          <w:b/>
          <w:sz w:val="24"/>
          <w:szCs w:val="24"/>
        </w:rPr>
      </w:pPr>
      <w:r w:rsidRPr="00A34E01">
        <w:rPr>
          <w:rFonts w:ascii="Arial" w:hAnsi="Arial" w:cs="Arial"/>
          <w:b/>
          <w:sz w:val="24"/>
          <w:szCs w:val="24"/>
        </w:rPr>
        <w:t>ЦЕЛЬ ИССЛЕДОВАНИЯ</w:t>
      </w:r>
    </w:p>
    <w:p w:rsidR="00884538" w:rsidRPr="00A34E01" w:rsidRDefault="00884538" w:rsidP="00A34E01">
      <w:pPr>
        <w:spacing w:after="0" w:line="360" w:lineRule="auto"/>
        <w:ind w:firstLine="567"/>
        <w:jc w:val="both"/>
        <w:rPr>
          <w:rFonts w:ascii="Arial" w:hAnsi="Arial" w:cs="Arial"/>
          <w:sz w:val="24"/>
          <w:szCs w:val="24"/>
        </w:rPr>
      </w:pPr>
      <w:r w:rsidRPr="00A34E01">
        <w:rPr>
          <w:rFonts w:ascii="Arial" w:hAnsi="Arial" w:cs="Arial"/>
          <w:sz w:val="24"/>
          <w:szCs w:val="24"/>
        </w:rPr>
        <w:t xml:space="preserve">С учётом клинико-лабораторных данных оценить пользу присоединения </w:t>
      </w:r>
      <w:proofErr w:type="spellStart"/>
      <w:r w:rsidRPr="00A34E01">
        <w:rPr>
          <w:rFonts w:ascii="Arial" w:hAnsi="Arial" w:cs="Arial"/>
          <w:sz w:val="24"/>
          <w:szCs w:val="24"/>
        </w:rPr>
        <w:t>тилорона</w:t>
      </w:r>
      <w:proofErr w:type="spellEnd"/>
      <w:r w:rsidRPr="00A34E01">
        <w:rPr>
          <w:rFonts w:ascii="Arial" w:hAnsi="Arial" w:cs="Arial"/>
          <w:sz w:val="24"/>
          <w:szCs w:val="24"/>
        </w:rPr>
        <w:t xml:space="preserve"> к терапии острой респираторной инфекции лёгкой и средней степени тяжести, обусловленной вирусом </w:t>
      </w:r>
      <w:r w:rsidRPr="00A34E01">
        <w:rPr>
          <w:rFonts w:ascii="Arial" w:hAnsi="Arial" w:cs="Arial"/>
          <w:sz w:val="24"/>
          <w:szCs w:val="24"/>
          <w:lang w:val="en-US"/>
        </w:rPr>
        <w:t>SARS</w:t>
      </w:r>
      <w:r w:rsidRPr="00A34E01">
        <w:rPr>
          <w:rFonts w:ascii="Arial" w:hAnsi="Arial" w:cs="Arial"/>
          <w:sz w:val="24"/>
          <w:szCs w:val="24"/>
        </w:rPr>
        <w:t>-</w:t>
      </w:r>
      <w:proofErr w:type="spellStart"/>
      <w:r w:rsidRPr="00A34E01">
        <w:rPr>
          <w:rFonts w:ascii="Arial" w:hAnsi="Arial" w:cs="Arial"/>
          <w:sz w:val="24"/>
          <w:szCs w:val="24"/>
          <w:lang w:val="en-US"/>
        </w:rPr>
        <w:t>CoV</w:t>
      </w:r>
      <w:proofErr w:type="spellEnd"/>
      <w:r w:rsidRPr="00A34E01">
        <w:rPr>
          <w:rFonts w:ascii="Arial" w:hAnsi="Arial" w:cs="Arial"/>
          <w:sz w:val="24"/>
          <w:szCs w:val="24"/>
        </w:rPr>
        <w:t>-2.</w:t>
      </w:r>
    </w:p>
    <w:p w:rsidR="00884538" w:rsidRPr="00A34E01" w:rsidRDefault="00884538" w:rsidP="00A34E01">
      <w:pPr>
        <w:spacing w:after="0" w:line="360" w:lineRule="auto"/>
        <w:ind w:firstLine="567"/>
        <w:jc w:val="both"/>
        <w:rPr>
          <w:rFonts w:ascii="Arial" w:hAnsi="Arial" w:cs="Arial"/>
          <w:b/>
          <w:sz w:val="24"/>
          <w:szCs w:val="24"/>
        </w:rPr>
      </w:pPr>
      <w:r w:rsidRPr="00A34E01">
        <w:rPr>
          <w:rFonts w:ascii="Arial" w:hAnsi="Arial" w:cs="Arial"/>
          <w:b/>
          <w:sz w:val="24"/>
          <w:szCs w:val="24"/>
        </w:rPr>
        <w:t>МАТЕРИАЛ И МЕТОДЫ</w:t>
      </w:r>
    </w:p>
    <w:p w:rsidR="00884538" w:rsidRPr="00A34E01" w:rsidRDefault="00884538" w:rsidP="00A34E01">
      <w:pPr>
        <w:autoSpaceDE w:val="0"/>
        <w:autoSpaceDN w:val="0"/>
        <w:adjustRightInd w:val="0"/>
        <w:spacing w:after="0" w:line="360" w:lineRule="auto"/>
        <w:ind w:firstLine="567"/>
        <w:jc w:val="both"/>
        <w:rPr>
          <w:rFonts w:ascii="Arial" w:hAnsi="Arial" w:cs="Arial"/>
          <w:color w:val="000000" w:themeColor="text1"/>
          <w:sz w:val="24"/>
          <w:szCs w:val="24"/>
        </w:rPr>
      </w:pPr>
      <w:r w:rsidRPr="00A34E01">
        <w:rPr>
          <w:rFonts w:ascii="Arial" w:hAnsi="Arial" w:cs="Arial"/>
          <w:sz w:val="24"/>
          <w:szCs w:val="24"/>
        </w:rPr>
        <w:t xml:space="preserve">Ретроспективно были проанализированы данные 90 историй болезни пациентов, проходивших лечение по поводу новой </w:t>
      </w:r>
      <w:proofErr w:type="spellStart"/>
      <w:r w:rsidRPr="00A34E01">
        <w:rPr>
          <w:rFonts w:ascii="Arial" w:hAnsi="Arial" w:cs="Arial"/>
          <w:sz w:val="24"/>
          <w:szCs w:val="24"/>
        </w:rPr>
        <w:t>коронавирусной</w:t>
      </w:r>
      <w:proofErr w:type="spellEnd"/>
      <w:r w:rsidRPr="00A34E01">
        <w:rPr>
          <w:rFonts w:ascii="Arial" w:hAnsi="Arial" w:cs="Arial"/>
          <w:sz w:val="24"/>
          <w:szCs w:val="24"/>
        </w:rPr>
        <w:t xml:space="preserve"> инфекции лёгкой или средней степени тяжести в апреле-июне 2020 года. В соответствии с целью исследования были отобраны 17 клинических случаев (основная группа), в которых пациенты в составе комплексной терапии получали </w:t>
      </w:r>
      <w:proofErr w:type="spellStart"/>
      <w:r w:rsidRPr="00A34E01">
        <w:rPr>
          <w:rFonts w:ascii="Arial" w:hAnsi="Arial" w:cs="Arial"/>
          <w:sz w:val="24"/>
          <w:szCs w:val="24"/>
        </w:rPr>
        <w:t>Тилорон</w:t>
      </w:r>
      <w:proofErr w:type="spellEnd"/>
      <w:r w:rsidR="00684914">
        <w:rPr>
          <w:rFonts w:ascii="Arial" w:hAnsi="Arial" w:cs="Arial"/>
          <w:sz w:val="24"/>
          <w:szCs w:val="24"/>
        </w:rPr>
        <w:t>-</w:t>
      </w:r>
      <w:r w:rsidRPr="00A34E01">
        <w:rPr>
          <w:rFonts w:ascii="Arial" w:hAnsi="Arial" w:cs="Arial"/>
          <w:sz w:val="24"/>
          <w:szCs w:val="24"/>
        </w:rPr>
        <w:t xml:space="preserve">СЗ, а также 17 клинических случаев, в которых комплексная терапия не содержала </w:t>
      </w:r>
      <w:proofErr w:type="spellStart"/>
      <w:r w:rsidRPr="00A34E01">
        <w:rPr>
          <w:rFonts w:ascii="Arial" w:hAnsi="Arial" w:cs="Arial"/>
          <w:sz w:val="24"/>
          <w:szCs w:val="24"/>
        </w:rPr>
        <w:t>тилорон</w:t>
      </w:r>
      <w:proofErr w:type="spellEnd"/>
      <w:r w:rsidRPr="00A34E01">
        <w:rPr>
          <w:rFonts w:ascii="Arial" w:hAnsi="Arial" w:cs="Arial"/>
          <w:sz w:val="24"/>
          <w:szCs w:val="24"/>
        </w:rPr>
        <w:t xml:space="preserve"> (группа сравнения). Обе группы не различались по возрасту, индексу массы тела (ИМТ), гендерному признаку, степени тяжести респираторной инфекции, выраженности синдрома общей инфекционной интоксикации, объёма вирусного поражения лёгочной ткани (в случае его выявления) по данным компьютерной томографии (КТ), спектра получаемой терапии (</w:t>
      </w:r>
      <w:r w:rsidRPr="00A34E01">
        <w:rPr>
          <w:rFonts w:ascii="Arial" w:hAnsi="Arial" w:cs="Arial"/>
          <w:sz w:val="24"/>
          <w:szCs w:val="24"/>
          <w:lang w:val="en-US"/>
        </w:rPr>
        <w:t>p</w:t>
      </w:r>
      <w:r w:rsidRPr="00A34E01">
        <w:rPr>
          <w:rFonts w:ascii="Arial" w:hAnsi="Arial" w:cs="Arial"/>
          <w:sz w:val="24"/>
          <w:szCs w:val="24"/>
        </w:rPr>
        <w:t xml:space="preserve">&gt;0,05 для каждого показателя). </w:t>
      </w:r>
      <w:r w:rsidRPr="00A34E01">
        <w:rPr>
          <w:rFonts w:ascii="Arial" w:hAnsi="Arial" w:cs="Arial"/>
          <w:color w:val="000000" w:themeColor="text1"/>
          <w:sz w:val="24"/>
          <w:szCs w:val="24"/>
        </w:rPr>
        <w:lastRenderedPageBreak/>
        <w:t>Исходная характеристика включённых в исследование лиц, представлена в таблице 1.</w:t>
      </w:r>
    </w:p>
    <w:p w:rsidR="00884538" w:rsidRPr="00A34E01" w:rsidRDefault="00884538" w:rsidP="00A34E01">
      <w:pPr>
        <w:spacing w:after="0" w:line="360" w:lineRule="auto"/>
        <w:jc w:val="right"/>
        <w:rPr>
          <w:rFonts w:ascii="Arial" w:eastAsia="Times New Roman" w:hAnsi="Arial" w:cs="Arial"/>
          <w:i/>
          <w:color w:val="000000"/>
          <w:sz w:val="24"/>
          <w:szCs w:val="24"/>
          <w:lang w:eastAsia="ru-RU"/>
        </w:rPr>
      </w:pPr>
      <w:r w:rsidRPr="00A34E01">
        <w:rPr>
          <w:rFonts w:ascii="Arial" w:eastAsia="Times New Roman" w:hAnsi="Arial" w:cs="Arial"/>
          <w:i/>
          <w:color w:val="000000"/>
          <w:sz w:val="24"/>
          <w:szCs w:val="24"/>
          <w:lang w:eastAsia="ru-RU"/>
        </w:rPr>
        <w:t>Таблица 1</w:t>
      </w:r>
    </w:p>
    <w:p w:rsidR="00884538" w:rsidRPr="00A34E01" w:rsidRDefault="00884538" w:rsidP="00A34E01">
      <w:pPr>
        <w:spacing w:after="0" w:line="360" w:lineRule="auto"/>
        <w:jc w:val="center"/>
        <w:rPr>
          <w:rFonts w:ascii="Arial" w:eastAsia="Times New Roman" w:hAnsi="Arial" w:cs="Arial"/>
          <w:b/>
          <w:color w:val="000000"/>
          <w:sz w:val="24"/>
          <w:szCs w:val="24"/>
          <w:lang w:eastAsia="ru-RU"/>
        </w:rPr>
      </w:pPr>
      <w:r w:rsidRPr="00A34E01">
        <w:rPr>
          <w:rFonts w:ascii="Arial" w:eastAsia="Times New Roman" w:hAnsi="Arial" w:cs="Arial"/>
          <w:b/>
          <w:color w:val="000000"/>
          <w:sz w:val="24"/>
          <w:szCs w:val="24"/>
          <w:lang w:eastAsia="ru-RU"/>
        </w:rPr>
        <w:t>Исходные показатели в группах обследованных лиц</w:t>
      </w:r>
    </w:p>
    <w:tbl>
      <w:tblPr>
        <w:tblStyle w:val="a6"/>
        <w:tblW w:w="0" w:type="auto"/>
        <w:shd w:val="clear" w:color="auto" w:fill="FFFFFF" w:themeFill="background1"/>
        <w:tblLook w:val="04A0" w:firstRow="1" w:lastRow="0" w:firstColumn="1" w:lastColumn="0" w:noHBand="0" w:noVBand="1"/>
      </w:tblPr>
      <w:tblGrid>
        <w:gridCol w:w="1485"/>
        <w:gridCol w:w="555"/>
        <w:gridCol w:w="1364"/>
        <w:gridCol w:w="1537"/>
        <w:gridCol w:w="1282"/>
        <w:gridCol w:w="749"/>
        <w:gridCol w:w="791"/>
        <w:gridCol w:w="791"/>
        <w:gridCol w:w="791"/>
      </w:tblGrid>
      <w:tr w:rsidR="00884538" w:rsidRPr="00A34E01" w:rsidTr="00684914">
        <w:trPr>
          <w:trHeight w:val="578"/>
        </w:trPr>
        <w:tc>
          <w:tcPr>
            <w:tcW w:w="1488" w:type="dxa"/>
            <w:vMerge w:val="restart"/>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Группа</w:t>
            </w:r>
          </w:p>
        </w:tc>
        <w:tc>
          <w:tcPr>
            <w:tcW w:w="557" w:type="dxa"/>
            <w:vMerge w:val="restart"/>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lang w:val="en-US"/>
              </w:rPr>
              <w:t>n</w:t>
            </w:r>
          </w:p>
        </w:tc>
        <w:tc>
          <w:tcPr>
            <w:tcW w:w="1366" w:type="dxa"/>
            <w:vMerge w:val="restart"/>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Возраст, лет</w:t>
            </w:r>
          </w:p>
        </w:tc>
        <w:tc>
          <w:tcPr>
            <w:tcW w:w="1546" w:type="dxa"/>
            <w:vMerge w:val="restart"/>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ИМТ, кг/м²</w:t>
            </w:r>
          </w:p>
        </w:tc>
        <w:tc>
          <w:tcPr>
            <w:tcW w:w="1259" w:type="dxa"/>
            <w:vMerge w:val="restart"/>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lang w:val="en-US"/>
              </w:rPr>
              <w:t xml:space="preserve">t </w:t>
            </w:r>
            <w:r w:rsidRPr="00A34E01">
              <w:rPr>
                <w:rFonts w:ascii="Arial" w:hAnsi="Arial" w:cs="Arial"/>
                <w:sz w:val="24"/>
                <w:szCs w:val="24"/>
              </w:rPr>
              <w:t>тела, °</w:t>
            </w:r>
          </w:p>
        </w:tc>
        <w:tc>
          <w:tcPr>
            <w:tcW w:w="3129" w:type="dxa"/>
            <w:gridSpan w:val="4"/>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Объём поражения легочной ткани</w:t>
            </w:r>
          </w:p>
        </w:tc>
      </w:tr>
      <w:tr w:rsidR="00884538" w:rsidRPr="00A34E01" w:rsidTr="00684914">
        <w:trPr>
          <w:trHeight w:val="578"/>
        </w:trPr>
        <w:tc>
          <w:tcPr>
            <w:tcW w:w="1488" w:type="dxa"/>
            <w:vMerge/>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p>
        </w:tc>
        <w:tc>
          <w:tcPr>
            <w:tcW w:w="557" w:type="dxa"/>
            <w:vMerge/>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lang w:val="en-US"/>
              </w:rPr>
            </w:pPr>
          </w:p>
        </w:tc>
        <w:tc>
          <w:tcPr>
            <w:tcW w:w="1366" w:type="dxa"/>
            <w:vMerge/>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p>
        </w:tc>
        <w:tc>
          <w:tcPr>
            <w:tcW w:w="1546" w:type="dxa"/>
            <w:vMerge/>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p>
        </w:tc>
        <w:tc>
          <w:tcPr>
            <w:tcW w:w="1259" w:type="dxa"/>
            <w:vMerge/>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p>
        </w:tc>
        <w:tc>
          <w:tcPr>
            <w:tcW w:w="750" w:type="dxa"/>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КТ-0</w:t>
            </w:r>
          </w:p>
        </w:tc>
        <w:tc>
          <w:tcPr>
            <w:tcW w:w="793" w:type="dxa"/>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КТ-1</w:t>
            </w:r>
          </w:p>
        </w:tc>
        <w:tc>
          <w:tcPr>
            <w:tcW w:w="793" w:type="dxa"/>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КТ-2</w:t>
            </w:r>
          </w:p>
        </w:tc>
        <w:tc>
          <w:tcPr>
            <w:tcW w:w="793" w:type="dxa"/>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КТ-3</w:t>
            </w:r>
          </w:p>
        </w:tc>
      </w:tr>
      <w:tr w:rsidR="000C5315" w:rsidRPr="00A34E01" w:rsidTr="00684914">
        <w:trPr>
          <w:trHeight w:val="542"/>
        </w:trPr>
        <w:tc>
          <w:tcPr>
            <w:tcW w:w="1488" w:type="dxa"/>
            <w:shd w:val="clear" w:color="auto" w:fill="FFFFFF" w:themeFill="background1"/>
            <w:vAlign w:val="center"/>
          </w:tcPr>
          <w:p w:rsidR="000C5315" w:rsidRPr="00A34E01" w:rsidRDefault="000C5315" w:rsidP="00A34E01">
            <w:pPr>
              <w:spacing w:line="360" w:lineRule="auto"/>
              <w:jc w:val="center"/>
              <w:rPr>
                <w:rFonts w:ascii="Arial" w:hAnsi="Arial" w:cs="Arial"/>
                <w:sz w:val="24"/>
                <w:szCs w:val="24"/>
              </w:rPr>
            </w:pPr>
            <w:r w:rsidRPr="00A34E01">
              <w:rPr>
                <w:rFonts w:ascii="Arial" w:hAnsi="Arial" w:cs="Arial"/>
                <w:sz w:val="24"/>
                <w:szCs w:val="24"/>
              </w:rPr>
              <w:t>Основная группа</w:t>
            </w:r>
          </w:p>
        </w:tc>
        <w:tc>
          <w:tcPr>
            <w:tcW w:w="557" w:type="dxa"/>
            <w:shd w:val="clear" w:color="auto" w:fill="FFFFFF" w:themeFill="background1"/>
            <w:vAlign w:val="center"/>
          </w:tcPr>
          <w:p w:rsidR="000C5315" w:rsidRPr="00A34E01" w:rsidRDefault="000C5315" w:rsidP="00A34E01">
            <w:pPr>
              <w:spacing w:line="360" w:lineRule="auto"/>
              <w:jc w:val="center"/>
              <w:rPr>
                <w:rFonts w:ascii="Arial" w:hAnsi="Arial" w:cs="Arial"/>
                <w:sz w:val="24"/>
                <w:szCs w:val="24"/>
              </w:rPr>
            </w:pPr>
            <w:r w:rsidRPr="00A34E01">
              <w:rPr>
                <w:rFonts w:ascii="Arial" w:hAnsi="Arial" w:cs="Arial"/>
                <w:sz w:val="24"/>
                <w:szCs w:val="24"/>
              </w:rPr>
              <w:t>17</w:t>
            </w:r>
          </w:p>
        </w:tc>
        <w:tc>
          <w:tcPr>
            <w:tcW w:w="1366" w:type="dxa"/>
            <w:shd w:val="clear" w:color="auto" w:fill="FFFFFF" w:themeFill="background1"/>
            <w:vAlign w:val="center"/>
          </w:tcPr>
          <w:p w:rsidR="000C5315" w:rsidRPr="00A34E01" w:rsidRDefault="000C5315" w:rsidP="00A34E01">
            <w:pPr>
              <w:spacing w:line="360" w:lineRule="auto"/>
              <w:jc w:val="center"/>
              <w:rPr>
                <w:rFonts w:ascii="Arial" w:hAnsi="Arial" w:cs="Arial"/>
                <w:sz w:val="24"/>
                <w:szCs w:val="24"/>
              </w:rPr>
            </w:pPr>
            <w:r w:rsidRPr="00A34E01">
              <w:rPr>
                <w:rFonts w:ascii="Arial" w:hAnsi="Arial" w:cs="Arial"/>
                <w:sz w:val="24"/>
                <w:szCs w:val="24"/>
              </w:rPr>
              <w:t>34,4 ±13,3</w:t>
            </w:r>
          </w:p>
        </w:tc>
        <w:tc>
          <w:tcPr>
            <w:tcW w:w="1546" w:type="dxa"/>
            <w:shd w:val="clear" w:color="auto" w:fill="FFFFFF" w:themeFill="background1"/>
            <w:vAlign w:val="center"/>
          </w:tcPr>
          <w:p w:rsidR="000C5315" w:rsidRPr="00A34E01" w:rsidRDefault="000C5315" w:rsidP="00A34E01">
            <w:pPr>
              <w:spacing w:line="360" w:lineRule="auto"/>
              <w:jc w:val="center"/>
              <w:rPr>
                <w:rFonts w:ascii="Arial" w:hAnsi="Arial" w:cs="Arial"/>
                <w:sz w:val="24"/>
                <w:szCs w:val="24"/>
              </w:rPr>
            </w:pPr>
            <w:r w:rsidRPr="00A34E01">
              <w:rPr>
                <w:rFonts w:ascii="Arial" w:hAnsi="Arial" w:cs="Arial"/>
                <w:sz w:val="24"/>
                <w:szCs w:val="24"/>
              </w:rPr>
              <w:t>27,2±4,6</w:t>
            </w:r>
          </w:p>
        </w:tc>
        <w:tc>
          <w:tcPr>
            <w:tcW w:w="1259" w:type="dxa"/>
            <w:shd w:val="clear" w:color="auto" w:fill="FFFFFF" w:themeFill="background1"/>
            <w:vAlign w:val="center"/>
          </w:tcPr>
          <w:p w:rsidR="000C5315" w:rsidRPr="00A34E01" w:rsidRDefault="000C5315"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37,2±1,31</w:t>
            </w:r>
          </w:p>
        </w:tc>
        <w:tc>
          <w:tcPr>
            <w:tcW w:w="750" w:type="dxa"/>
            <w:shd w:val="clear" w:color="auto" w:fill="FFFFFF" w:themeFill="background1"/>
            <w:vAlign w:val="center"/>
          </w:tcPr>
          <w:p w:rsidR="000C5315" w:rsidRPr="00A34E01" w:rsidRDefault="000C5315" w:rsidP="00A34E01">
            <w:pPr>
              <w:spacing w:line="360" w:lineRule="auto"/>
              <w:jc w:val="center"/>
              <w:rPr>
                <w:rFonts w:ascii="Arial" w:hAnsi="Arial" w:cs="Arial"/>
                <w:sz w:val="24"/>
                <w:szCs w:val="24"/>
              </w:rPr>
            </w:pPr>
            <w:r w:rsidRPr="00A34E01">
              <w:rPr>
                <w:rFonts w:ascii="Arial" w:hAnsi="Arial" w:cs="Arial"/>
                <w:sz w:val="24"/>
                <w:szCs w:val="24"/>
              </w:rPr>
              <w:t>2/17</w:t>
            </w:r>
          </w:p>
        </w:tc>
        <w:tc>
          <w:tcPr>
            <w:tcW w:w="793" w:type="dxa"/>
            <w:shd w:val="clear" w:color="auto" w:fill="FFFFFF" w:themeFill="background1"/>
            <w:vAlign w:val="center"/>
          </w:tcPr>
          <w:p w:rsidR="000C5315" w:rsidRPr="00A34E01" w:rsidRDefault="000C5315" w:rsidP="00A34E01">
            <w:pPr>
              <w:spacing w:line="360" w:lineRule="auto"/>
              <w:jc w:val="center"/>
              <w:rPr>
                <w:rFonts w:ascii="Arial" w:hAnsi="Arial" w:cs="Arial"/>
                <w:sz w:val="24"/>
                <w:szCs w:val="24"/>
              </w:rPr>
            </w:pPr>
            <w:r w:rsidRPr="00A34E01">
              <w:rPr>
                <w:rFonts w:ascii="Arial" w:hAnsi="Arial" w:cs="Arial"/>
                <w:sz w:val="24"/>
                <w:szCs w:val="24"/>
              </w:rPr>
              <w:t>6/17</w:t>
            </w:r>
          </w:p>
        </w:tc>
        <w:tc>
          <w:tcPr>
            <w:tcW w:w="793" w:type="dxa"/>
            <w:shd w:val="clear" w:color="auto" w:fill="FFFFFF" w:themeFill="background1"/>
            <w:vAlign w:val="center"/>
          </w:tcPr>
          <w:p w:rsidR="000C5315" w:rsidRPr="00A34E01" w:rsidRDefault="000C5315" w:rsidP="00A34E01">
            <w:pPr>
              <w:spacing w:line="360" w:lineRule="auto"/>
              <w:jc w:val="center"/>
              <w:rPr>
                <w:rFonts w:ascii="Arial" w:hAnsi="Arial" w:cs="Arial"/>
                <w:sz w:val="24"/>
                <w:szCs w:val="24"/>
              </w:rPr>
            </w:pPr>
            <w:r w:rsidRPr="00A34E01">
              <w:rPr>
                <w:rFonts w:ascii="Arial" w:hAnsi="Arial" w:cs="Arial"/>
                <w:sz w:val="24"/>
                <w:szCs w:val="24"/>
              </w:rPr>
              <w:t>7/17</w:t>
            </w:r>
          </w:p>
        </w:tc>
        <w:tc>
          <w:tcPr>
            <w:tcW w:w="793" w:type="dxa"/>
            <w:shd w:val="clear" w:color="auto" w:fill="FFFFFF" w:themeFill="background1"/>
            <w:vAlign w:val="center"/>
          </w:tcPr>
          <w:p w:rsidR="000C5315" w:rsidRPr="00A34E01" w:rsidRDefault="000C5315" w:rsidP="00A34E01">
            <w:pPr>
              <w:spacing w:line="360" w:lineRule="auto"/>
              <w:jc w:val="center"/>
              <w:rPr>
                <w:rFonts w:ascii="Arial" w:hAnsi="Arial" w:cs="Arial"/>
                <w:sz w:val="24"/>
                <w:szCs w:val="24"/>
              </w:rPr>
            </w:pPr>
            <w:r w:rsidRPr="00A34E01">
              <w:rPr>
                <w:rFonts w:ascii="Arial" w:hAnsi="Arial" w:cs="Arial"/>
                <w:sz w:val="24"/>
                <w:szCs w:val="24"/>
              </w:rPr>
              <w:t>2/17</w:t>
            </w:r>
          </w:p>
        </w:tc>
      </w:tr>
      <w:tr w:rsidR="000C5315" w:rsidRPr="00A34E01" w:rsidTr="00684914">
        <w:trPr>
          <w:trHeight w:val="545"/>
        </w:trPr>
        <w:tc>
          <w:tcPr>
            <w:tcW w:w="1488" w:type="dxa"/>
            <w:shd w:val="clear" w:color="auto" w:fill="FFFFFF" w:themeFill="background1"/>
            <w:vAlign w:val="center"/>
          </w:tcPr>
          <w:p w:rsidR="000C5315" w:rsidRPr="00A34E01" w:rsidRDefault="000C5315" w:rsidP="00A34E01">
            <w:pPr>
              <w:spacing w:line="360" w:lineRule="auto"/>
              <w:jc w:val="center"/>
              <w:rPr>
                <w:rFonts w:ascii="Arial" w:hAnsi="Arial" w:cs="Arial"/>
                <w:sz w:val="24"/>
                <w:szCs w:val="24"/>
              </w:rPr>
            </w:pPr>
            <w:r w:rsidRPr="00A34E01">
              <w:rPr>
                <w:rFonts w:ascii="Arial" w:hAnsi="Arial" w:cs="Arial"/>
                <w:sz w:val="24"/>
                <w:szCs w:val="24"/>
              </w:rPr>
              <w:t>Группа сравнения</w:t>
            </w:r>
          </w:p>
        </w:tc>
        <w:tc>
          <w:tcPr>
            <w:tcW w:w="557" w:type="dxa"/>
            <w:shd w:val="clear" w:color="auto" w:fill="FFFFFF" w:themeFill="background1"/>
            <w:vAlign w:val="center"/>
          </w:tcPr>
          <w:p w:rsidR="000C5315" w:rsidRPr="00A34E01" w:rsidRDefault="000C5315" w:rsidP="00A34E01">
            <w:pPr>
              <w:spacing w:line="360" w:lineRule="auto"/>
              <w:jc w:val="center"/>
              <w:rPr>
                <w:rFonts w:ascii="Arial" w:hAnsi="Arial" w:cs="Arial"/>
                <w:sz w:val="24"/>
                <w:szCs w:val="24"/>
              </w:rPr>
            </w:pPr>
            <w:r w:rsidRPr="00A34E01">
              <w:rPr>
                <w:rFonts w:ascii="Arial" w:hAnsi="Arial" w:cs="Arial"/>
                <w:sz w:val="24"/>
                <w:szCs w:val="24"/>
              </w:rPr>
              <w:t>17</w:t>
            </w:r>
          </w:p>
        </w:tc>
        <w:tc>
          <w:tcPr>
            <w:tcW w:w="1366" w:type="dxa"/>
            <w:shd w:val="clear" w:color="auto" w:fill="FFFFFF" w:themeFill="background1"/>
            <w:vAlign w:val="center"/>
          </w:tcPr>
          <w:p w:rsidR="000C5315" w:rsidRPr="00A34E01" w:rsidRDefault="000C5315" w:rsidP="00A34E01">
            <w:pPr>
              <w:spacing w:line="360" w:lineRule="auto"/>
              <w:jc w:val="center"/>
              <w:rPr>
                <w:rFonts w:ascii="Arial" w:hAnsi="Arial" w:cs="Arial"/>
                <w:sz w:val="24"/>
                <w:szCs w:val="24"/>
              </w:rPr>
            </w:pPr>
            <w:r w:rsidRPr="00A34E01">
              <w:rPr>
                <w:rFonts w:ascii="Arial" w:hAnsi="Arial" w:cs="Arial"/>
                <w:sz w:val="24"/>
                <w:szCs w:val="24"/>
              </w:rPr>
              <w:t>35,2±16,3</w:t>
            </w:r>
          </w:p>
        </w:tc>
        <w:tc>
          <w:tcPr>
            <w:tcW w:w="1546" w:type="dxa"/>
            <w:shd w:val="clear" w:color="auto" w:fill="FFFFFF" w:themeFill="background1"/>
            <w:vAlign w:val="center"/>
          </w:tcPr>
          <w:p w:rsidR="000C5315" w:rsidRPr="00A34E01" w:rsidRDefault="000C5315" w:rsidP="00A34E01">
            <w:pPr>
              <w:spacing w:line="360" w:lineRule="auto"/>
              <w:jc w:val="center"/>
              <w:rPr>
                <w:rFonts w:ascii="Arial" w:hAnsi="Arial" w:cs="Arial"/>
                <w:sz w:val="24"/>
                <w:szCs w:val="24"/>
              </w:rPr>
            </w:pPr>
            <w:r w:rsidRPr="00A34E01">
              <w:rPr>
                <w:rFonts w:ascii="Arial" w:hAnsi="Arial" w:cs="Arial"/>
                <w:sz w:val="24"/>
                <w:szCs w:val="24"/>
              </w:rPr>
              <w:t>27,9±2,7</w:t>
            </w:r>
          </w:p>
        </w:tc>
        <w:tc>
          <w:tcPr>
            <w:tcW w:w="1259" w:type="dxa"/>
            <w:shd w:val="clear" w:color="auto" w:fill="FFFFFF" w:themeFill="background1"/>
            <w:vAlign w:val="center"/>
          </w:tcPr>
          <w:p w:rsidR="000C5315" w:rsidRPr="00A34E01" w:rsidRDefault="000C5315"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37,2±1,22</w:t>
            </w:r>
          </w:p>
        </w:tc>
        <w:tc>
          <w:tcPr>
            <w:tcW w:w="750" w:type="dxa"/>
            <w:shd w:val="clear" w:color="auto" w:fill="FFFFFF" w:themeFill="background1"/>
            <w:vAlign w:val="center"/>
          </w:tcPr>
          <w:p w:rsidR="000C5315" w:rsidRPr="00A34E01" w:rsidRDefault="000C5315" w:rsidP="00A34E01">
            <w:pPr>
              <w:spacing w:line="360" w:lineRule="auto"/>
              <w:jc w:val="center"/>
              <w:rPr>
                <w:rFonts w:ascii="Arial" w:hAnsi="Arial" w:cs="Arial"/>
                <w:sz w:val="24"/>
                <w:szCs w:val="24"/>
              </w:rPr>
            </w:pPr>
            <w:r w:rsidRPr="00A34E01">
              <w:rPr>
                <w:rFonts w:ascii="Arial" w:hAnsi="Arial" w:cs="Arial"/>
                <w:sz w:val="24"/>
                <w:szCs w:val="24"/>
              </w:rPr>
              <w:t>2/17</w:t>
            </w:r>
          </w:p>
        </w:tc>
        <w:tc>
          <w:tcPr>
            <w:tcW w:w="793" w:type="dxa"/>
            <w:shd w:val="clear" w:color="auto" w:fill="FFFFFF" w:themeFill="background1"/>
            <w:vAlign w:val="center"/>
          </w:tcPr>
          <w:p w:rsidR="000C5315" w:rsidRPr="00A34E01" w:rsidRDefault="000C5315" w:rsidP="00A34E01">
            <w:pPr>
              <w:spacing w:line="360" w:lineRule="auto"/>
              <w:jc w:val="center"/>
              <w:rPr>
                <w:rFonts w:ascii="Arial" w:hAnsi="Arial" w:cs="Arial"/>
                <w:sz w:val="24"/>
                <w:szCs w:val="24"/>
              </w:rPr>
            </w:pPr>
            <w:r w:rsidRPr="00A34E01">
              <w:rPr>
                <w:rFonts w:ascii="Arial" w:hAnsi="Arial" w:cs="Arial"/>
                <w:sz w:val="24"/>
                <w:szCs w:val="24"/>
              </w:rPr>
              <w:t>5/17</w:t>
            </w:r>
          </w:p>
        </w:tc>
        <w:tc>
          <w:tcPr>
            <w:tcW w:w="793" w:type="dxa"/>
            <w:shd w:val="clear" w:color="auto" w:fill="FFFFFF" w:themeFill="background1"/>
            <w:vAlign w:val="center"/>
          </w:tcPr>
          <w:p w:rsidR="000C5315" w:rsidRPr="00A34E01" w:rsidRDefault="000C5315" w:rsidP="00A34E01">
            <w:pPr>
              <w:spacing w:line="360" w:lineRule="auto"/>
              <w:jc w:val="center"/>
              <w:rPr>
                <w:rFonts w:ascii="Arial" w:hAnsi="Arial" w:cs="Arial"/>
                <w:sz w:val="24"/>
                <w:szCs w:val="24"/>
              </w:rPr>
            </w:pPr>
            <w:r w:rsidRPr="00A34E01">
              <w:rPr>
                <w:rFonts w:ascii="Arial" w:hAnsi="Arial" w:cs="Arial"/>
                <w:sz w:val="24"/>
                <w:szCs w:val="24"/>
              </w:rPr>
              <w:t>7/17</w:t>
            </w:r>
          </w:p>
        </w:tc>
        <w:tc>
          <w:tcPr>
            <w:tcW w:w="793" w:type="dxa"/>
            <w:shd w:val="clear" w:color="auto" w:fill="FFFFFF" w:themeFill="background1"/>
            <w:vAlign w:val="center"/>
          </w:tcPr>
          <w:p w:rsidR="000C5315" w:rsidRPr="00A34E01" w:rsidRDefault="000C5315" w:rsidP="00A34E01">
            <w:pPr>
              <w:spacing w:line="360" w:lineRule="auto"/>
              <w:jc w:val="center"/>
              <w:rPr>
                <w:rFonts w:ascii="Arial" w:hAnsi="Arial" w:cs="Arial"/>
                <w:sz w:val="24"/>
                <w:szCs w:val="24"/>
              </w:rPr>
            </w:pPr>
            <w:r w:rsidRPr="00A34E01">
              <w:rPr>
                <w:rFonts w:ascii="Arial" w:hAnsi="Arial" w:cs="Arial"/>
                <w:sz w:val="24"/>
                <w:szCs w:val="24"/>
              </w:rPr>
              <w:t>3/17</w:t>
            </w:r>
          </w:p>
        </w:tc>
      </w:tr>
    </w:tbl>
    <w:p w:rsidR="00884538" w:rsidRPr="00A34E01" w:rsidRDefault="00884538" w:rsidP="00A34E01">
      <w:pPr>
        <w:autoSpaceDE w:val="0"/>
        <w:autoSpaceDN w:val="0"/>
        <w:adjustRightInd w:val="0"/>
        <w:spacing w:after="0" w:line="360" w:lineRule="auto"/>
        <w:jc w:val="both"/>
        <w:rPr>
          <w:rFonts w:ascii="Arial" w:hAnsi="Arial" w:cs="Arial"/>
          <w:sz w:val="24"/>
          <w:szCs w:val="24"/>
        </w:rPr>
      </w:pPr>
    </w:p>
    <w:p w:rsidR="00884538" w:rsidRPr="00A34E01" w:rsidRDefault="00884538" w:rsidP="00A34E01">
      <w:pPr>
        <w:autoSpaceDE w:val="0"/>
        <w:autoSpaceDN w:val="0"/>
        <w:adjustRightInd w:val="0"/>
        <w:spacing w:after="0" w:line="360" w:lineRule="auto"/>
        <w:rPr>
          <w:rFonts w:ascii="Arial" w:hAnsi="Arial" w:cs="Arial"/>
          <w:sz w:val="24"/>
          <w:szCs w:val="24"/>
        </w:rPr>
      </w:pPr>
      <w:r w:rsidRPr="00A34E01">
        <w:rPr>
          <w:rFonts w:ascii="Arial" w:hAnsi="Arial" w:cs="Arial"/>
          <w:sz w:val="24"/>
          <w:szCs w:val="24"/>
        </w:rPr>
        <w:t xml:space="preserve"> </w:t>
      </w:r>
    </w:p>
    <w:p w:rsidR="00884538" w:rsidRPr="00A34E01" w:rsidRDefault="00884538" w:rsidP="00A34E01">
      <w:pPr>
        <w:autoSpaceDE w:val="0"/>
        <w:autoSpaceDN w:val="0"/>
        <w:adjustRightInd w:val="0"/>
        <w:spacing w:after="0" w:line="360" w:lineRule="auto"/>
        <w:ind w:firstLine="567"/>
        <w:jc w:val="both"/>
        <w:rPr>
          <w:rFonts w:ascii="Arial" w:hAnsi="Arial" w:cs="Arial"/>
          <w:sz w:val="24"/>
          <w:szCs w:val="24"/>
          <w:shd w:val="clear" w:color="auto" w:fill="FFFFFF"/>
        </w:rPr>
      </w:pPr>
      <w:r w:rsidRPr="00A34E01">
        <w:rPr>
          <w:rFonts w:ascii="Arial" w:hAnsi="Arial" w:cs="Arial"/>
          <w:sz w:val="24"/>
          <w:szCs w:val="24"/>
        </w:rPr>
        <w:t xml:space="preserve">Наличие у госпитализированных лиц новой </w:t>
      </w:r>
      <w:proofErr w:type="spellStart"/>
      <w:r w:rsidRPr="00A34E01">
        <w:rPr>
          <w:rFonts w:ascii="Arial" w:hAnsi="Arial" w:cs="Arial"/>
          <w:sz w:val="24"/>
          <w:szCs w:val="24"/>
        </w:rPr>
        <w:t>коронавирусной</w:t>
      </w:r>
      <w:proofErr w:type="spellEnd"/>
      <w:r w:rsidRPr="00A34E01">
        <w:rPr>
          <w:rFonts w:ascii="Arial" w:hAnsi="Arial" w:cs="Arial"/>
          <w:sz w:val="24"/>
          <w:szCs w:val="24"/>
        </w:rPr>
        <w:t xml:space="preserve"> инфекции подтверждали положительным результатом исследования биоматериала со слизистой </w:t>
      </w:r>
      <w:proofErr w:type="spellStart"/>
      <w:r w:rsidRPr="00A34E01">
        <w:rPr>
          <w:rFonts w:ascii="Arial" w:hAnsi="Arial" w:cs="Arial"/>
          <w:sz w:val="24"/>
          <w:szCs w:val="24"/>
        </w:rPr>
        <w:t>носо</w:t>
      </w:r>
      <w:proofErr w:type="spellEnd"/>
      <w:r w:rsidRPr="00A34E01">
        <w:rPr>
          <w:rFonts w:ascii="Arial" w:hAnsi="Arial" w:cs="Arial"/>
          <w:sz w:val="24"/>
          <w:szCs w:val="24"/>
        </w:rPr>
        <w:t xml:space="preserve">- ротоглотки методом полимеразной цепной реакции на РНК </w:t>
      </w:r>
      <w:r w:rsidRPr="00A34E01">
        <w:rPr>
          <w:rFonts w:ascii="Arial" w:hAnsi="Arial" w:cs="Arial"/>
          <w:sz w:val="24"/>
          <w:szCs w:val="24"/>
          <w:lang w:val="en-US"/>
        </w:rPr>
        <w:t>SARS</w:t>
      </w:r>
      <w:r w:rsidRPr="00A34E01">
        <w:rPr>
          <w:rFonts w:ascii="Arial" w:hAnsi="Arial" w:cs="Arial"/>
          <w:sz w:val="24"/>
          <w:szCs w:val="24"/>
        </w:rPr>
        <w:t>-</w:t>
      </w:r>
      <w:proofErr w:type="spellStart"/>
      <w:r w:rsidRPr="00A34E01">
        <w:rPr>
          <w:rFonts w:ascii="Arial" w:hAnsi="Arial" w:cs="Arial"/>
          <w:sz w:val="24"/>
          <w:szCs w:val="24"/>
          <w:lang w:val="en-US"/>
        </w:rPr>
        <w:t>CoV</w:t>
      </w:r>
      <w:proofErr w:type="spellEnd"/>
      <w:r w:rsidRPr="00A34E01">
        <w:rPr>
          <w:rFonts w:ascii="Arial" w:hAnsi="Arial" w:cs="Arial"/>
          <w:sz w:val="24"/>
          <w:szCs w:val="24"/>
        </w:rPr>
        <w:t xml:space="preserve">-2. Объём диагностических мероприятий и основные направления лечебной тактики  определяли с учётом актуальных </w:t>
      </w:r>
      <w:r w:rsidR="00D26AC6" w:rsidRPr="00A34E01">
        <w:rPr>
          <w:rFonts w:ascii="Arial" w:hAnsi="Arial" w:cs="Arial"/>
          <w:sz w:val="24"/>
          <w:szCs w:val="24"/>
        </w:rPr>
        <w:t xml:space="preserve">по состоянию на апрель-май 2020 года </w:t>
      </w:r>
      <w:r w:rsidRPr="00A34E01">
        <w:rPr>
          <w:rFonts w:ascii="Arial" w:hAnsi="Arial" w:cs="Arial"/>
          <w:sz w:val="24"/>
          <w:szCs w:val="24"/>
        </w:rPr>
        <w:t xml:space="preserve">временных методических документов: Методических рекомендаций ГВМУ МО РФ по диагностике, лечению и профилактике новой </w:t>
      </w:r>
      <w:proofErr w:type="spellStart"/>
      <w:r w:rsidRPr="00A34E01">
        <w:rPr>
          <w:rFonts w:ascii="Arial" w:hAnsi="Arial" w:cs="Arial"/>
          <w:sz w:val="24"/>
          <w:szCs w:val="24"/>
        </w:rPr>
        <w:t>коронавирусной</w:t>
      </w:r>
      <w:proofErr w:type="spellEnd"/>
      <w:r w:rsidRPr="00A34E01">
        <w:rPr>
          <w:rFonts w:ascii="Arial" w:hAnsi="Arial" w:cs="Arial"/>
          <w:sz w:val="24"/>
          <w:szCs w:val="24"/>
        </w:rPr>
        <w:t xml:space="preserve"> инфекции (</w:t>
      </w:r>
      <w:r w:rsidRPr="00A34E01">
        <w:rPr>
          <w:rFonts w:ascii="Arial" w:hAnsi="Arial" w:cs="Arial"/>
          <w:sz w:val="24"/>
          <w:szCs w:val="24"/>
          <w:lang w:val="en-US"/>
        </w:rPr>
        <w:t>COVID</w:t>
      </w:r>
      <w:r w:rsidRPr="00A34E01">
        <w:rPr>
          <w:rFonts w:ascii="Arial" w:hAnsi="Arial" w:cs="Arial"/>
          <w:sz w:val="24"/>
          <w:szCs w:val="24"/>
        </w:rPr>
        <w:t>-19) (Версия 4  от 06.04.2020) [</w:t>
      </w:r>
      <w:r w:rsidR="00AE0FFA" w:rsidRPr="00A34E01">
        <w:rPr>
          <w:rFonts w:ascii="Arial" w:hAnsi="Arial" w:cs="Arial"/>
          <w:sz w:val="24"/>
          <w:szCs w:val="24"/>
        </w:rPr>
        <w:t>Методические рекомендации ГВМУ МО РФ, 2020</w:t>
      </w:r>
      <w:r w:rsidRPr="00A34E01">
        <w:rPr>
          <w:rFonts w:ascii="Arial" w:hAnsi="Arial" w:cs="Arial"/>
          <w:sz w:val="24"/>
          <w:szCs w:val="24"/>
        </w:rPr>
        <w:t xml:space="preserve">]; Временных методических рекомендаций МЗ РФ по профилактике, диагностике и лечению новой </w:t>
      </w:r>
      <w:proofErr w:type="spellStart"/>
      <w:r w:rsidRPr="00A34E01">
        <w:rPr>
          <w:rFonts w:ascii="Arial" w:hAnsi="Arial" w:cs="Arial"/>
          <w:sz w:val="24"/>
          <w:szCs w:val="24"/>
        </w:rPr>
        <w:t>коронавирусной</w:t>
      </w:r>
      <w:proofErr w:type="spellEnd"/>
      <w:r w:rsidRPr="00A34E01">
        <w:rPr>
          <w:rFonts w:ascii="Arial" w:hAnsi="Arial" w:cs="Arial"/>
          <w:sz w:val="24"/>
          <w:szCs w:val="24"/>
        </w:rPr>
        <w:t xml:space="preserve"> инфекции (</w:t>
      </w:r>
      <w:r w:rsidRPr="00A34E01">
        <w:rPr>
          <w:rFonts w:ascii="Arial" w:hAnsi="Arial" w:cs="Arial"/>
          <w:sz w:val="24"/>
          <w:szCs w:val="24"/>
          <w:lang w:val="en-US"/>
        </w:rPr>
        <w:t>COVID</w:t>
      </w:r>
      <w:r w:rsidRPr="00A34E01">
        <w:rPr>
          <w:rFonts w:ascii="Arial" w:hAnsi="Arial" w:cs="Arial"/>
          <w:sz w:val="24"/>
          <w:szCs w:val="24"/>
        </w:rPr>
        <w:t>-19) (Версия 6 от 24.04.2020) [</w:t>
      </w:r>
      <w:r w:rsidR="00AE0FFA" w:rsidRPr="00A34E01">
        <w:rPr>
          <w:rFonts w:ascii="Arial" w:hAnsi="Arial" w:cs="Arial"/>
          <w:sz w:val="24"/>
          <w:szCs w:val="24"/>
        </w:rPr>
        <w:t>Временные м</w:t>
      </w:r>
      <w:r w:rsidR="00D26AC6" w:rsidRPr="00A34E01">
        <w:rPr>
          <w:rFonts w:ascii="Arial" w:hAnsi="Arial" w:cs="Arial"/>
          <w:sz w:val="24"/>
          <w:szCs w:val="24"/>
        </w:rPr>
        <w:t>етодические рекомендации МЗ РФ, 2020</w:t>
      </w:r>
      <w:r w:rsidRPr="00A34E01">
        <w:rPr>
          <w:rFonts w:ascii="Arial" w:hAnsi="Arial" w:cs="Arial"/>
          <w:sz w:val="24"/>
          <w:szCs w:val="24"/>
        </w:rPr>
        <w:t xml:space="preserve">]. Вместе с тем, отсутствие на актуальный период времени однозначных выводов мировых и отечественных экспертов о пользе или неэффективности тех или иных лекарственных средств для лечения больных новой </w:t>
      </w:r>
      <w:proofErr w:type="spellStart"/>
      <w:r w:rsidRPr="00A34E01">
        <w:rPr>
          <w:rFonts w:ascii="Arial" w:hAnsi="Arial" w:cs="Arial"/>
          <w:sz w:val="24"/>
          <w:szCs w:val="24"/>
        </w:rPr>
        <w:t>коронавирусной</w:t>
      </w:r>
      <w:proofErr w:type="spellEnd"/>
      <w:r w:rsidRPr="00A34E01">
        <w:rPr>
          <w:rFonts w:ascii="Arial" w:hAnsi="Arial" w:cs="Arial"/>
          <w:sz w:val="24"/>
          <w:szCs w:val="24"/>
        </w:rPr>
        <w:t xml:space="preserve"> инфекцией, способствовало коллегиальному принятию терапевтического решения в каждом конкретном клиническом случае.</w:t>
      </w:r>
    </w:p>
    <w:p w:rsidR="00884538" w:rsidRPr="00A34E01" w:rsidRDefault="00884538" w:rsidP="00A34E01">
      <w:pPr>
        <w:spacing w:after="0" w:line="360" w:lineRule="auto"/>
        <w:ind w:firstLine="567"/>
        <w:jc w:val="both"/>
        <w:rPr>
          <w:rFonts w:ascii="Arial" w:hAnsi="Arial" w:cs="Arial"/>
          <w:color w:val="000000" w:themeColor="text1"/>
          <w:sz w:val="24"/>
          <w:szCs w:val="24"/>
        </w:rPr>
      </w:pPr>
      <w:r w:rsidRPr="00A34E01">
        <w:rPr>
          <w:rFonts w:ascii="Arial" w:hAnsi="Arial" w:cs="Arial"/>
          <w:sz w:val="24"/>
          <w:szCs w:val="24"/>
        </w:rPr>
        <w:t xml:space="preserve">Нозологическую форму (острая </w:t>
      </w:r>
      <w:r w:rsidRPr="00A34E01">
        <w:rPr>
          <w:rFonts w:ascii="Arial" w:hAnsi="Arial" w:cs="Arial"/>
          <w:color w:val="000000" w:themeColor="text1"/>
          <w:sz w:val="24"/>
          <w:szCs w:val="24"/>
        </w:rPr>
        <w:t xml:space="preserve">респираторная вирусная инфекция или пневмония) верифицировали с учётом клинической картины, данных </w:t>
      </w:r>
      <w:proofErr w:type="spellStart"/>
      <w:r w:rsidRPr="00A34E01">
        <w:rPr>
          <w:rFonts w:ascii="Arial" w:hAnsi="Arial" w:cs="Arial"/>
          <w:color w:val="000000" w:themeColor="text1"/>
          <w:sz w:val="24"/>
          <w:szCs w:val="24"/>
        </w:rPr>
        <w:t>нативной</w:t>
      </w:r>
      <w:proofErr w:type="spellEnd"/>
      <w:r w:rsidRPr="00A34E01">
        <w:rPr>
          <w:rFonts w:ascii="Arial" w:hAnsi="Arial" w:cs="Arial"/>
          <w:color w:val="000000" w:themeColor="text1"/>
          <w:sz w:val="24"/>
          <w:szCs w:val="24"/>
        </w:rPr>
        <w:t xml:space="preserve"> компьютерной томографии грудной клетки. У всех пациентов оценивали показатели общеклинического анализа крови, общеклинического анализа мочи, содержания в крови общего белка, альбумина, </w:t>
      </w:r>
      <w:proofErr w:type="spellStart"/>
      <w:r w:rsidRPr="00A34E01">
        <w:rPr>
          <w:rFonts w:ascii="Arial" w:hAnsi="Arial" w:cs="Arial"/>
          <w:color w:val="000000" w:themeColor="text1"/>
          <w:sz w:val="24"/>
          <w:szCs w:val="24"/>
        </w:rPr>
        <w:t>трансаминаз</w:t>
      </w:r>
      <w:proofErr w:type="spellEnd"/>
      <w:r w:rsidRPr="00A34E01">
        <w:rPr>
          <w:rFonts w:ascii="Arial" w:hAnsi="Arial" w:cs="Arial"/>
          <w:color w:val="000000" w:themeColor="text1"/>
          <w:sz w:val="24"/>
          <w:szCs w:val="24"/>
        </w:rPr>
        <w:t xml:space="preserve">, общего холестерина, </w:t>
      </w:r>
      <w:proofErr w:type="spellStart"/>
      <w:r w:rsidRPr="00A34E01">
        <w:rPr>
          <w:rFonts w:ascii="Arial" w:hAnsi="Arial" w:cs="Arial"/>
          <w:color w:val="000000" w:themeColor="text1"/>
          <w:sz w:val="24"/>
          <w:szCs w:val="24"/>
        </w:rPr>
        <w:t>креатинина</w:t>
      </w:r>
      <w:proofErr w:type="spellEnd"/>
      <w:r w:rsidRPr="00A34E01">
        <w:rPr>
          <w:rFonts w:ascii="Arial" w:hAnsi="Arial" w:cs="Arial"/>
          <w:color w:val="000000" w:themeColor="text1"/>
          <w:sz w:val="24"/>
          <w:szCs w:val="24"/>
        </w:rPr>
        <w:t>, калия, натрия, глюкозы, С-реактивного белка, Д-</w:t>
      </w:r>
      <w:proofErr w:type="spellStart"/>
      <w:r w:rsidRPr="00A34E01">
        <w:rPr>
          <w:rFonts w:ascii="Arial" w:hAnsi="Arial" w:cs="Arial"/>
          <w:color w:val="000000" w:themeColor="text1"/>
          <w:sz w:val="24"/>
          <w:szCs w:val="24"/>
        </w:rPr>
        <w:t>димера</w:t>
      </w:r>
      <w:proofErr w:type="spellEnd"/>
      <w:r w:rsidRPr="00A34E01">
        <w:rPr>
          <w:rFonts w:ascii="Arial" w:hAnsi="Arial" w:cs="Arial"/>
          <w:color w:val="000000" w:themeColor="text1"/>
          <w:sz w:val="24"/>
          <w:szCs w:val="24"/>
        </w:rPr>
        <w:t xml:space="preserve">, высокочувствительного </w:t>
      </w:r>
      <w:proofErr w:type="spellStart"/>
      <w:r w:rsidRPr="00A34E01">
        <w:rPr>
          <w:rFonts w:ascii="Arial" w:hAnsi="Arial" w:cs="Arial"/>
          <w:color w:val="000000" w:themeColor="text1"/>
          <w:sz w:val="24"/>
          <w:szCs w:val="24"/>
        </w:rPr>
        <w:lastRenderedPageBreak/>
        <w:t>тропонина</w:t>
      </w:r>
      <w:proofErr w:type="spellEnd"/>
      <w:r w:rsidRPr="00A34E01">
        <w:rPr>
          <w:rFonts w:ascii="Arial" w:hAnsi="Arial" w:cs="Arial"/>
          <w:color w:val="000000" w:themeColor="text1"/>
          <w:sz w:val="24"/>
          <w:szCs w:val="24"/>
        </w:rPr>
        <w:t xml:space="preserve"> Т, </w:t>
      </w:r>
      <w:proofErr w:type="spellStart"/>
      <w:r w:rsidRPr="00A34E01">
        <w:rPr>
          <w:rFonts w:ascii="Arial" w:hAnsi="Arial" w:cs="Arial"/>
          <w:color w:val="000000" w:themeColor="text1"/>
          <w:sz w:val="24"/>
          <w:szCs w:val="24"/>
        </w:rPr>
        <w:t>прокальцитонина</w:t>
      </w:r>
      <w:proofErr w:type="spellEnd"/>
      <w:r w:rsidRPr="00A34E01">
        <w:rPr>
          <w:rFonts w:ascii="Arial" w:hAnsi="Arial" w:cs="Arial"/>
          <w:color w:val="000000" w:themeColor="text1"/>
          <w:sz w:val="24"/>
          <w:szCs w:val="24"/>
        </w:rPr>
        <w:t xml:space="preserve">. Названные лабораторные исследования были выполнены натощак в первые сутки госпитализации, а также на завершающем этапе лечения (на 12-14 сутки нахождения в клинике). В каждом случае выполняли стандартную 12-канальную электрокардиографию, в динамике регулярно оценивали показатели сатурации кислорода при дыхании атмосферным воздухом (при помощи портативного </w:t>
      </w:r>
      <w:proofErr w:type="spellStart"/>
      <w:r w:rsidRPr="00A34E01">
        <w:rPr>
          <w:rFonts w:ascii="Arial" w:hAnsi="Arial" w:cs="Arial"/>
          <w:color w:val="000000" w:themeColor="text1"/>
          <w:sz w:val="24"/>
          <w:szCs w:val="24"/>
        </w:rPr>
        <w:t>пульсоксиметра</w:t>
      </w:r>
      <w:proofErr w:type="spellEnd"/>
      <w:r w:rsidRPr="00A34E01">
        <w:rPr>
          <w:rFonts w:ascii="Arial" w:hAnsi="Arial" w:cs="Arial"/>
          <w:color w:val="000000" w:themeColor="text1"/>
          <w:sz w:val="24"/>
          <w:szCs w:val="24"/>
        </w:rPr>
        <w:t xml:space="preserve">), частоты дыхания, температуры тела, артериального давления, частоты сердечных сокращений. Контрольную рентгенографию грудной клетки осуществляли по показаниям в зависимости от исходных </w:t>
      </w:r>
      <w:r w:rsidRPr="00A34E01">
        <w:rPr>
          <w:rFonts w:ascii="Arial" w:hAnsi="Arial" w:cs="Arial"/>
          <w:sz w:val="24"/>
          <w:szCs w:val="24"/>
        </w:rPr>
        <w:t>данных компьютерной томографии и динамики клинической картины заболевания. Лабораторные и рентгенологические исследования соответственно были выполнены силами и средствами центра клинико-лабораторной диагностики и клиники рентгенологии и радиологии</w:t>
      </w:r>
      <w:r w:rsidR="000C5315" w:rsidRPr="00A34E01">
        <w:rPr>
          <w:rFonts w:ascii="Arial" w:hAnsi="Arial" w:cs="Arial"/>
          <w:sz w:val="24"/>
          <w:szCs w:val="24"/>
        </w:rPr>
        <w:t xml:space="preserve"> академии</w:t>
      </w:r>
      <w:r w:rsidRPr="00A34E01">
        <w:rPr>
          <w:rFonts w:ascii="Arial" w:hAnsi="Arial" w:cs="Arial"/>
          <w:sz w:val="24"/>
          <w:szCs w:val="24"/>
        </w:rPr>
        <w:t xml:space="preserve">. В исследовательскую выборку не включали пациентов с признаками дыхательной недостаточности, повышенным уровнем </w:t>
      </w:r>
      <w:proofErr w:type="spellStart"/>
      <w:r w:rsidRPr="00A34E01">
        <w:rPr>
          <w:rFonts w:ascii="Arial" w:hAnsi="Arial" w:cs="Arial"/>
          <w:sz w:val="24"/>
          <w:szCs w:val="24"/>
        </w:rPr>
        <w:t>прокальцитонина</w:t>
      </w:r>
      <w:proofErr w:type="spellEnd"/>
      <w:r w:rsidRPr="00A34E01">
        <w:rPr>
          <w:rFonts w:ascii="Arial" w:hAnsi="Arial" w:cs="Arial"/>
          <w:sz w:val="24"/>
          <w:szCs w:val="24"/>
        </w:rPr>
        <w:t xml:space="preserve">, </w:t>
      </w:r>
      <w:proofErr w:type="spellStart"/>
      <w:r w:rsidRPr="00A34E01">
        <w:rPr>
          <w:rFonts w:ascii="Arial" w:hAnsi="Arial" w:cs="Arial"/>
          <w:sz w:val="24"/>
          <w:szCs w:val="24"/>
        </w:rPr>
        <w:t>тропонина</w:t>
      </w:r>
      <w:proofErr w:type="spellEnd"/>
      <w:r w:rsidRPr="00A34E01">
        <w:rPr>
          <w:rFonts w:ascii="Arial" w:hAnsi="Arial" w:cs="Arial"/>
          <w:sz w:val="24"/>
          <w:szCs w:val="24"/>
        </w:rPr>
        <w:t xml:space="preserve"> </w:t>
      </w:r>
      <w:r w:rsidRPr="00A34E01">
        <w:rPr>
          <w:rFonts w:ascii="Arial" w:hAnsi="Arial" w:cs="Arial"/>
          <w:color w:val="000000" w:themeColor="text1"/>
          <w:sz w:val="24"/>
          <w:szCs w:val="24"/>
        </w:rPr>
        <w:t xml:space="preserve">(относительно </w:t>
      </w:r>
      <w:proofErr w:type="spellStart"/>
      <w:r w:rsidRPr="00A34E01">
        <w:rPr>
          <w:rFonts w:ascii="Arial" w:hAnsi="Arial" w:cs="Arial"/>
          <w:color w:val="000000" w:themeColor="text1"/>
          <w:sz w:val="24"/>
          <w:szCs w:val="24"/>
        </w:rPr>
        <w:t>референсных</w:t>
      </w:r>
      <w:proofErr w:type="spellEnd"/>
      <w:r w:rsidRPr="00A34E01">
        <w:rPr>
          <w:rFonts w:ascii="Arial" w:hAnsi="Arial" w:cs="Arial"/>
          <w:color w:val="000000" w:themeColor="text1"/>
          <w:sz w:val="24"/>
          <w:szCs w:val="24"/>
        </w:rPr>
        <w:t xml:space="preserve"> величин, принятых в местной лаборатории), значительным увеличением содержания Д-</w:t>
      </w:r>
      <w:proofErr w:type="spellStart"/>
      <w:r w:rsidRPr="00A34E01">
        <w:rPr>
          <w:rFonts w:ascii="Arial" w:hAnsi="Arial" w:cs="Arial"/>
          <w:color w:val="000000" w:themeColor="text1"/>
          <w:sz w:val="24"/>
          <w:szCs w:val="24"/>
        </w:rPr>
        <w:t>димера</w:t>
      </w:r>
      <w:proofErr w:type="spellEnd"/>
      <w:r w:rsidRPr="00A34E01">
        <w:rPr>
          <w:rFonts w:ascii="Arial" w:hAnsi="Arial" w:cs="Arial"/>
          <w:color w:val="000000" w:themeColor="text1"/>
          <w:sz w:val="24"/>
          <w:szCs w:val="24"/>
        </w:rPr>
        <w:t xml:space="preserve"> (≥1000 </w:t>
      </w:r>
      <w:proofErr w:type="spellStart"/>
      <w:r w:rsidRPr="00A34E01">
        <w:rPr>
          <w:rFonts w:ascii="Arial" w:hAnsi="Arial" w:cs="Arial"/>
          <w:color w:val="000000" w:themeColor="text1"/>
          <w:sz w:val="24"/>
          <w:szCs w:val="24"/>
        </w:rPr>
        <w:t>нг</w:t>
      </w:r>
      <w:proofErr w:type="spellEnd"/>
      <w:r w:rsidRPr="00A34E01">
        <w:rPr>
          <w:rFonts w:ascii="Arial" w:hAnsi="Arial" w:cs="Arial"/>
          <w:color w:val="000000" w:themeColor="text1"/>
          <w:sz w:val="24"/>
          <w:szCs w:val="24"/>
        </w:rPr>
        <w:t>/мл). Среди лиц, отобранных для исследования, не было таковых, страдающих какой-либо сопутствующей клинически значимой патологией, которая могла бы потребовать приёма специфических лекарственных препаратов.</w:t>
      </w:r>
    </w:p>
    <w:p w:rsidR="00884538" w:rsidRPr="00A34E01" w:rsidRDefault="00884538" w:rsidP="00A34E01">
      <w:pPr>
        <w:autoSpaceDE w:val="0"/>
        <w:autoSpaceDN w:val="0"/>
        <w:adjustRightInd w:val="0"/>
        <w:spacing w:after="0" w:line="360" w:lineRule="auto"/>
        <w:ind w:firstLine="567"/>
        <w:jc w:val="both"/>
        <w:rPr>
          <w:rFonts w:ascii="Arial" w:hAnsi="Arial" w:cs="Arial"/>
          <w:sz w:val="24"/>
          <w:szCs w:val="24"/>
        </w:rPr>
      </w:pPr>
      <w:r w:rsidRPr="00A34E01">
        <w:rPr>
          <w:rFonts w:ascii="Arial" w:hAnsi="Arial" w:cs="Arial"/>
          <w:sz w:val="24"/>
          <w:szCs w:val="24"/>
        </w:rPr>
        <w:t xml:space="preserve">Комплексная фармакотерапия предусматривала применение средств противовирусной и антибактериальной (профилактической) направленности, антикоагулянтов, жаропонижающих препаратов в зависимости от выраженности клинико-лабораторных проявлений, особенностей картины изменений лёгочной ткани, полученной при инициальной компьютерной томографии грудной клетки. Схема применения </w:t>
      </w:r>
      <w:proofErr w:type="spellStart"/>
      <w:r w:rsidR="00E7469B" w:rsidRPr="00A34E01">
        <w:rPr>
          <w:rFonts w:ascii="Arial" w:hAnsi="Arial" w:cs="Arial"/>
          <w:sz w:val="24"/>
          <w:szCs w:val="24"/>
        </w:rPr>
        <w:t>Тилорона</w:t>
      </w:r>
      <w:proofErr w:type="spellEnd"/>
      <w:r w:rsidR="00D250C1" w:rsidRPr="00D250C1">
        <w:rPr>
          <w:rFonts w:ascii="Arial" w:hAnsi="Arial" w:cs="Arial"/>
          <w:sz w:val="24"/>
          <w:szCs w:val="24"/>
        </w:rPr>
        <w:t>-</w:t>
      </w:r>
      <w:r w:rsidR="00E7469B" w:rsidRPr="00A34E01">
        <w:rPr>
          <w:rFonts w:ascii="Arial" w:hAnsi="Arial" w:cs="Arial"/>
          <w:sz w:val="24"/>
          <w:szCs w:val="24"/>
        </w:rPr>
        <w:t>СЗ с</w:t>
      </w:r>
      <w:r w:rsidRPr="00A34E01">
        <w:rPr>
          <w:rFonts w:ascii="Arial" w:hAnsi="Arial" w:cs="Arial"/>
          <w:sz w:val="24"/>
          <w:szCs w:val="24"/>
        </w:rPr>
        <w:t xml:space="preserve">оответствовала таковой, приведенной в инструкции к нему. Препарат </w:t>
      </w:r>
      <w:r w:rsidRPr="00A34E01">
        <w:rPr>
          <w:rFonts w:ascii="Arial" w:hAnsi="Arial" w:cs="Arial"/>
          <w:color w:val="333333"/>
          <w:sz w:val="24"/>
          <w:szCs w:val="24"/>
          <w:shd w:val="clear" w:color="auto" w:fill="FFFFFF"/>
        </w:rPr>
        <w:t>назначали в дозе 125 мг в сутки (на один приём) в первые 2 дня лечения, затем по 125 мг через каждые 48 часов. Курсовая доза составляла 750 мг (6 таблеток).</w:t>
      </w:r>
    </w:p>
    <w:p w:rsidR="00884538" w:rsidRPr="00A34E01" w:rsidRDefault="00884538" w:rsidP="00A34E01">
      <w:pPr>
        <w:pStyle w:val="paragraph"/>
        <w:spacing w:before="0" w:beforeAutospacing="0" w:after="0" w:afterAutospacing="0" w:line="360" w:lineRule="auto"/>
        <w:ind w:firstLine="541"/>
        <w:jc w:val="both"/>
        <w:textAlignment w:val="baseline"/>
        <w:rPr>
          <w:rFonts w:ascii="Arial" w:hAnsi="Arial" w:cs="Arial"/>
          <w:color w:val="000000" w:themeColor="text1"/>
        </w:rPr>
      </w:pPr>
      <w:r w:rsidRPr="00A34E01">
        <w:rPr>
          <w:rFonts w:ascii="Arial" w:hAnsi="Arial" w:cs="Arial"/>
          <w:color w:val="000000" w:themeColor="text1"/>
        </w:rPr>
        <w:t>Для статистической обработки данных применяли пакет прикладных программ</w:t>
      </w:r>
      <w:r w:rsidRPr="00A34E01">
        <w:rPr>
          <w:rStyle w:val="normaltextrun"/>
          <w:rFonts w:ascii="Arial" w:hAnsi="Arial" w:cs="Arial"/>
          <w:color w:val="000000" w:themeColor="text1"/>
        </w:rPr>
        <w:t xml:space="preserve"> </w:t>
      </w:r>
      <w:proofErr w:type="spellStart"/>
      <w:r w:rsidRPr="00A34E01">
        <w:rPr>
          <w:rStyle w:val="normaltextrun"/>
          <w:rFonts w:ascii="Arial" w:hAnsi="Arial" w:cs="Arial"/>
          <w:color w:val="000000" w:themeColor="text1"/>
          <w:lang w:val="en-US"/>
        </w:rPr>
        <w:t>StatSoft</w:t>
      </w:r>
      <w:proofErr w:type="spellEnd"/>
      <w:r w:rsidRPr="00A34E01">
        <w:rPr>
          <w:rStyle w:val="normaltextrun"/>
          <w:rFonts w:ascii="Arial" w:hAnsi="Arial" w:cs="Arial"/>
          <w:color w:val="000000" w:themeColor="text1"/>
        </w:rPr>
        <w:t xml:space="preserve"> </w:t>
      </w:r>
      <w:proofErr w:type="spellStart"/>
      <w:r w:rsidRPr="00A34E01">
        <w:rPr>
          <w:rStyle w:val="normaltextrun"/>
          <w:rFonts w:ascii="Arial" w:hAnsi="Arial" w:cs="Arial"/>
          <w:color w:val="000000" w:themeColor="text1"/>
          <w:lang w:val="en-US"/>
        </w:rPr>
        <w:t>Statistica</w:t>
      </w:r>
      <w:proofErr w:type="spellEnd"/>
      <w:r w:rsidRPr="00A34E01">
        <w:rPr>
          <w:rStyle w:val="normaltextrun"/>
          <w:rFonts w:ascii="Arial" w:hAnsi="Arial" w:cs="Arial"/>
          <w:color w:val="000000" w:themeColor="text1"/>
        </w:rPr>
        <w:t xml:space="preserve"> 10. Количественные показатели сравнивали между группами и внутри групп с использованием модуля непараметрической статистики (непараметрический </w:t>
      </w:r>
      <w:r w:rsidRPr="00A34E01">
        <w:rPr>
          <w:rStyle w:val="normaltextrun"/>
          <w:rFonts w:ascii="Arial" w:hAnsi="Arial" w:cs="Arial"/>
          <w:color w:val="000000" w:themeColor="text1"/>
          <w:lang w:val="en-US"/>
        </w:rPr>
        <w:t>U</w:t>
      </w:r>
      <w:r w:rsidRPr="00A34E01">
        <w:rPr>
          <w:rStyle w:val="normaltextrun"/>
          <w:rFonts w:ascii="Arial" w:hAnsi="Arial" w:cs="Arial"/>
          <w:color w:val="000000" w:themeColor="text1"/>
        </w:rPr>
        <w:t>-</w:t>
      </w:r>
      <w:r w:rsidRPr="00A34E01">
        <w:rPr>
          <w:rStyle w:val="normaltextrun"/>
          <w:rFonts w:ascii="Arial" w:hAnsi="Arial" w:cs="Arial"/>
          <w:color w:val="000000" w:themeColor="text1"/>
          <w:lang w:val="en-US"/>
        </w:rPr>
        <w:t>test</w:t>
      </w:r>
      <w:r w:rsidRPr="00A34E01">
        <w:rPr>
          <w:rStyle w:val="normaltextrun"/>
          <w:rFonts w:ascii="Arial" w:hAnsi="Arial" w:cs="Arial"/>
          <w:color w:val="000000" w:themeColor="text1"/>
        </w:rPr>
        <w:t> </w:t>
      </w:r>
      <w:r w:rsidRPr="00A34E01">
        <w:rPr>
          <w:rStyle w:val="normaltextrun"/>
          <w:rFonts w:ascii="Arial" w:hAnsi="Arial" w:cs="Arial"/>
          <w:color w:val="000000" w:themeColor="text1"/>
          <w:lang w:val="en-US"/>
        </w:rPr>
        <w:t>Mann</w:t>
      </w:r>
      <w:r w:rsidRPr="00A34E01">
        <w:rPr>
          <w:rStyle w:val="normaltextrun"/>
          <w:rFonts w:ascii="Arial" w:hAnsi="Arial" w:cs="Arial"/>
          <w:color w:val="000000" w:themeColor="text1"/>
        </w:rPr>
        <w:t>-</w:t>
      </w:r>
      <w:r w:rsidRPr="00A34E01">
        <w:rPr>
          <w:rStyle w:val="normaltextrun"/>
          <w:rFonts w:ascii="Arial" w:hAnsi="Arial" w:cs="Arial"/>
          <w:color w:val="000000" w:themeColor="text1"/>
          <w:lang w:val="en-US"/>
        </w:rPr>
        <w:t>Whitney</w:t>
      </w:r>
      <w:r w:rsidRPr="00A34E01">
        <w:rPr>
          <w:rStyle w:val="normaltextrun"/>
          <w:rFonts w:ascii="Arial" w:hAnsi="Arial" w:cs="Arial"/>
          <w:color w:val="000000" w:themeColor="text1"/>
        </w:rPr>
        <w:t xml:space="preserve">). </w:t>
      </w:r>
      <w:r w:rsidRPr="00A34E01">
        <w:rPr>
          <w:rFonts w:ascii="Arial" w:hAnsi="Arial" w:cs="Arial"/>
          <w:color w:val="000000" w:themeColor="text1"/>
        </w:rPr>
        <w:t xml:space="preserve">Данные </w:t>
      </w:r>
      <w:proofErr w:type="gramStart"/>
      <w:r w:rsidRPr="00A34E01">
        <w:rPr>
          <w:rFonts w:ascii="Arial" w:hAnsi="Arial" w:cs="Arial"/>
          <w:color w:val="000000" w:themeColor="text1"/>
        </w:rPr>
        <w:t>представили</w:t>
      </w:r>
      <w:proofErr w:type="gramEnd"/>
      <w:r w:rsidRPr="00A34E01">
        <w:rPr>
          <w:rFonts w:ascii="Arial" w:hAnsi="Arial" w:cs="Arial"/>
          <w:color w:val="000000" w:themeColor="text1"/>
        </w:rPr>
        <w:t xml:space="preserve"> как среднее значение (М) ± стандартное отклонение (s. d.).</w:t>
      </w:r>
    </w:p>
    <w:p w:rsidR="00884538" w:rsidRPr="00A34E01" w:rsidRDefault="00884538" w:rsidP="00A34E01">
      <w:pPr>
        <w:spacing w:after="0" w:line="360" w:lineRule="auto"/>
        <w:ind w:firstLine="567"/>
        <w:jc w:val="both"/>
        <w:rPr>
          <w:rFonts w:ascii="Arial" w:hAnsi="Arial" w:cs="Arial"/>
          <w:b/>
          <w:sz w:val="24"/>
          <w:szCs w:val="24"/>
        </w:rPr>
      </w:pPr>
      <w:r w:rsidRPr="00A34E01">
        <w:rPr>
          <w:rFonts w:ascii="Arial" w:hAnsi="Arial" w:cs="Arial"/>
          <w:b/>
          <w:sz w:val="24"/>
          <w:szCs w:val="24"/>
        </w:rPr>
        <w:t>РЕЗУЛЬТАТЫ ИССЛЕДОВАНИЯ И ИХ ОБСУЖДЕНИЕ</w:t>
      </w:r>
    </w:p>
    <w:p w:rsidR="00884538" w:rsidRPr="00A34E01" w:rsidRDefault="00884538" w:rsidP="00A34E01">
      <w:pPr>
        <w:spacing w:after="0" w:line="360" w:lineRule="auto"/>
        <w:ind w:firstLine="567"/>
        <w:jc w:val="both"/>
        <w:rPr>
          <w:rFonts w:ascii="Arial" w:hAnsi="Arial" w:cs="Arial"/>
          <w:sz w:val="24"/>
          <w:szCs w:val="24"/>
        </w:rPr>
      </w:pPr>
      <w:r w:rsidRPr="00A34E01">
        <w:rPr>
          <w:rFonts w:ascii="Arial" w:hAnsi="Arial" w:cs="Arial"/>
          <w:sz w:val="24"/>
          <w:szCs w:val="24"/>
        </w:rPr>
        <w:t xml:space="preserve">В таблице 2 отражена динамика температуры тела (усредненной по измерению в утренние и вечерние часы). Как следует из таблицы 2, в обеих группах </w:t>
      </w:r>
      <w:r w:rsidRPr="00A34E01">
        <w:rPr>
          <w:rFonts w:ascii="Arial" w:hAnsi="Arial" w:cs="Arial"/>
          <w:sz w:val="24"/>
          <w:szCs w:val="24"/>
        </w:rPr>
        <w:lastRenderedPageBreak/>
        <w:t>наблюдалось закономерное снижение температуры тела до нормальных значений без выявления межгрупповых различий в первый, пятый и десятый дни лечения (</w:t>
      </w:r>
      <w:r w:rsidRPr="00A34E01">
        <w:rPr>
          <w:rFonts w:ascii="Arial" w:hAnsi="Arial" w:cs="Arial"/>
          <w:sz w:val="24"/>
          <w:szCs w:val="24"/>
          <w:lang w:val="en-US"/>
        </w:rPr>
        <w:t>p</w:t>
      </w:r>
      <w:r w:rsidRPr="00A34E01">
        <w:rPr>
          <w:rFonts w:ascii="Arial" w:hAnsi="Arial" w:cs="Arial"/>
          <w:sz w:val="24"/>
          <w:szCs w:val="24"/>
        </w:rPr>
        <w:t>&gt;0,05 для межгрупповых сравнений в каждый период лечения).</w:t>
      </w:r>
    </w:p>
    <w:p w:rsidR="00884538" w:rsidRPr="00A34E01" w:rsidRDefault="00884538" w:rsidP="00A34E01">
      <w:pPr>
        <w:spacing w:after="0" w:line="360" w:lineRule="auto"/>
        <w:jc w:val="right"/>
        <w:rPr>
          <w:rFonts w:ascii="Arial" w:eastAsia="Times New Roman" w:hAnsi="Arial" w:cs="Arial"/>
          <w:i/>
          <w:color w:val="000000"/>
          <w:sz w:val="24"/>
          <w:szCs w:val="24"/>
          <w:lang w:eastAsia="ru-RU"/>
        </w:rPr>
      </w:pPr>
      <w:r w:rsidRPr="00A34E01">
        <w:rPr>
          <w:rFonts w:ascii="Arial" w:eastAsia="Times New Roman" w:hAnsi="Arial" w:cs="Arial"/>
          <w:i/>
          <w:color w:val="000000"/>
          <w:sz w:val="24"/>
          <w:szCs w:val="24"/>
          <w:lang w:eastAsia="ru-RU"/>
        </w:rPr>
        <w:t>Таблица 2</w:t>
      </w:r>
    </w:p>
    <w:p w:rsidR="00884538" w:rsidRPr="00A34E01" w:rsidRDefault="00884538" w:rsidP="00A34E01">
      <w:pPr>
        <w:spacing w:after="0" w:line="360" w:lineRule="auto"/>
        <w:jc w:val="center"/>
        <w:rPr>
          <w:rFonts w:ascii="Arial" w:eastAsia="Times New Roman" w:hAnsi="Arial" w:cs="Arial"/>
          <w:b/>
          <w:color w:val="000000"/>
          <w:sz w:val="24"/>
          <w:szCs w:val="24"/>
          <w:lang w:eastAsia="ru-RU"/>
        </w:rPr>
      </w:pPr>
      <w:r w:rsidRPr="00A34E01">
        <w:rPr>
          <w:rFonts w:ascii="Arial" w:eastAsia="Times New Roman" w:hAnsi="Arial" w:cs="Arial"/>
          <w:b/>
          <w:color w:val="000000"/>
          <w:sz w:val="24"/>
          <w:szCs w:val="24"/>
          <w:lang w:eastAsia="ru-RU"/>
        </w:rPr>
        <w:t>Динамика температуры тела на фоне лечения в группах обследованных лиц</w:t>
      </w:r>
    </w:p>
    <w:tbl>
      <w:tblPr>
        <w:tblStyle w:val="a6"/>
        <w:tblW w:w="9152" w:type="dxa"/>
        <w:shd w:val="clear" w:color="auto" w:fill="FFFFFF" w:themeFill="background1"/>
        <w:tblLayout w:type="fixed"/>
        <w:tblLook w:val="04A0" w:firstRow="1" w:lastRow="0" w:firstColumn="1" w:lastColumn="0" w:noHBand="0" w:noVBand="1"/>
      </w:tblPr>
      <w:tblGrid>
        <w:gridCol w:w="1696"/>
        <w:gridCol w:w="2268"/>
        <w:gridCol w:w="2694"/>
        <w:gridCol w:w="2494"/>
      </w:tblGrid>
      <w:tr w:rsidR="00884538" w:rsidRPr="00A34E01" w:rsidTr="00684914">
        <w:trPr>
          <w:trHeight w:val="517"/>
        </w:trPr>
        <w:tc>
          <w:tcPr>
            <w:tcW w:w="1696" w:type="dxa"/>
            <w:vMerge w:val="restart"/>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Группа</w:t>
            </w:r>
          </w:p>
        </w:tc>
        <w:tc>
          <w:tcPr>
            <w:tcW w:w="7456" w:type="dxa"/>
            <w:gridSpan w:val="3"/>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Дни госпитализации</w:t>
            </w:r>
          </w:p>
        </w:tc>
      </w:tr>
      <w:tr w:rsidR="00884538" w:rsidRPr="00A34E01" w:rsidTr="00684914">
        <w:trPr>
          <w:trHeight w:val="573"/>
        </w:trPr>
        <w:tc>
          <w:tcPr>
            <w:tcW w:w="1696" w:type="dxa"/>
            <w:vMerge/>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p>
        </w:tc>
        <w:tc>
          <w:tcPr>
            <w:tcW w:w="2268"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День 1</w:t>
            </w:r>
          </w:p>
        </w:tc>
        <w:tc>
          <w:tcPr>
            <w:tcW w:w="2694"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День 5</w:t>
            </w:r>
          </w:p>
        </w:tc>
        <w:tc>
          <w:tcPr>
            <w:tcW w:w="2494"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День 10</w:t>
            </w:r>
          </w:p>
        </w:tc>
      </w:tr>
      <w:tr w:rsidR="00884538" w:rsidRPr="00A34E01" w:rsidTr="00684914">
        <w:trPr>
          <w:trHeight w:val="850"/>
        </w:trPr>
        <w:tc>
          <w:tcPr>
            <w:tcW w:w="1696" w:type="dxa"/>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Основная группа</w:t>
            </w:r>
          </w:p>
        </w:tc>
        <w:tc>
          <w:tcPr>
            <w:tcW w:w="2268"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37,2±1,31</w:t>
            </w:r>
          </w:p>
        </w:tc>
        <w:tc>
          <w:tcPr>
            <w:tcW w:w="2694"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36,7±0,70</w:t>
            </w:r>
          </w:p>
        </w:tc>
        <w:tc>
          <w:tcPr>
            <w:tcW w:w="2494"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36,6±0,76</w:t>
            </w:r>
          </w:p>
        </w:tc>
      </w:tr>
      <w:tr w:rsidR="00884538" w:rsidRPr="00A34E01" w:rsidTr="00684914">
        <w:trPr>
          <w:trHeight w:val="850"/>
        </w:trPr>
        <w:tc>
          <w:tcPr>
            <w:tcW w:w="1696" w:type="dxa"/>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Группа сравнения</w:t>
            </w:r>
          </w:p>
        </w:tc>
        <w:tc>
          <w:tcPr>
            <w:tcW w:w="2268"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37,2±1,22</w:t>
            </w:r>
          </w:p>
        </w:tc>
        <w:tc>
          <w:tcPr>
            <w:tcW w:w="2694"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36,8±0,82</w:t>
            </w:r>
          </w:p>
        </w:tc>
        <w:tc>
          <w:tcPr>
            <w:tcW w:w="2494"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36,7±0,91</w:t>
            </w:r>
          </w:p>
        </w:tc>
      </w:tr>
    </w:tbl>
    <w:p w:rsidR="00884538" w:rsidRPr="00A34E01" w:rsidRDefault="00884538" w:rsidP="00A34E01">
      <w:pPr>
        <w:spacing w:after="0" w:line="360" w:lineRule="auto"/>
        <w:ind w:firstLine="567"/>
        <w:jc w:val="both"/>
        <w:rPr>
          <w:rFonts w:ascii="Arial" w:hAnsi="Arial" w:cs="Arial"/>
          <w:b/>
          <w:sz w:val="24"/>
          <w:szCs w:val="24"/>
        </w:rPr>
      </w:pPr>
    </w:p>
    <w:p w:rsidR="00884538" w:rsidRPr="00A34E01" w:rsidRDefault="00884538" w:rsidP="00A34E01">
      <w:pPr>
        <w:spacing w:after="0" w:line="360" w:lineRule="auto"/>
        <w:ind w:firstLine="567"/>
        <w:jc w:val="both"/>
        <w:rPr>
          <w:rFonts w:ascii="Arial" w:hAnsi="Arial" w:cs="Arial"/>
          <w:sz w:val="24"/>
          <w:szCs w:val="24"/>
        </w:rPr>
      </w:pPr>
      <w:r w:rsidRPr="00A34E01">
        <w:rPr>
          <w:rFonts w:ascii="Arial" w:hAnsi="Arial" w:cs="Arial"/>
          <w:sz w:val="24"/>
          <w:szCs w:val="24"/>
        </w:rPr>
        <w:t xml:space="preserve">В таблице 3 отражена динамика сатурации кислорода (усредненной по измерению в утренние и вечерние часы). Как следует из таблицы 3, сатурация кислорода при дыхании атмосферным воздухом достоверно не различалась у пациентов основной группы и группы сравнения и соответствовала нормальным значениям. На фоне лечения этот показатель имел тенденцию к увеличению в пределах </w:t>
      </w:r>
      <w:proofErr w:type="spellStart"/>
      <w:r w:rsidRPr="00A34E01">
        <w:rPr>
          <w:rFonts w:ascii="Arial" w:hAnsi="Arial" w:cs="Arial"/>
          <w:sz w:val="24"/>
          <w:szCs w:val="24"/>
        </w:rPr>
        <w:t>референсного</w:t>
      </w:r>
      <w:proofErr w:type="spellEnd"/>
      <w:r w:rsidRPr="00A34E01">
        <w:rPr>
          <w:rFonts w:ascii="Arial" w:hAnsi="Arial" w:cs="Arial"/>
          <w:sz w:val="24"/>
          <w:szCs w:val="24"/>
        </w:rPr>
        <w:t xml:space="preserve"> диапазона значений у лиц каждой группы при отсутствии существенных межгрупповых различий (</w:t>
      </w:r>
      <w:r w:rsidRPr="00A34E01">
        <w:rPr>
          <w:rFonts w:ascii="Arial" w:hAnsi="Arial" w:cs="Arial"/>
          <w:sz w:val="24"/>
          <w:szCs w:val="24"/>
          <w:lang w:val="en-US"/>
        </w:rPr>
        <w:t>p</w:t>
      </w:r>
      <w:r w:rsidRPr="00A34E01">
        <w:rPr>
          <w:rFonts w:ascii="Arial" w:hAnsi="Arial" w:cs="Arial"/>
          <w:sz w:val="24"/>
          <w:szCs w:val="24"/>
        </w:rPr>
        <w:t>&gt;0,05 для межгрупповых сравнений в каждый период лечения).</w:t>
      </w:r>
    </w:p>
    <w:p w:rsidR="00884538" w:rsidRPr="00A34E01" w:rsidRDefault="00884538" w:rsidP="00A34E01">
      <w:pPr>
        <w:spacing w:after="0" w:line="360" w:lineRule="auto"/>
        <w:ind w:firstLine="567"/>
        <w:jc w:val="both"/>
        <w:rPr>
          <w:rFonts w:ascii="Arial" w:hAnsi="Arial" w:cs="Arial"/>
          <w:sz w:val="24"/>
          <w:szCs w:val="24"/>
        </w:rPr>
      </w:pPr>
    </w:p>
    <w:p w:rsidR="00884538" w:rsidRPr="00A34E01" w:rsidRDefault="00884538" w:rsidP="00A34E01">
      <w:pPr>
        <w:spacing w:after="0" w:line="360" w:lineRule="auto"/>
        <w:jc w:val="right"/>
        <w:rPr>
          <w:rFonts w:ascii="Arial" w:eastAsia="Times New Roman" w:hAnsi="Arial" w:cs="Arial"/>
          <w:i/>
          <w:color w:val="000000"/>
          <w:sz w:val="24"/>
          <w:szCs w:val="24"/>
          <w:lang w:eastAsia="ru-RU"/>
        </w:rPr>
      </w:pPr>
      <w:r w:rsidRPr="00A34E01">
        <w:rPr>
          <w:rFonts w:ascii="Arial" w:eastAsia="Times New Roman" w:hAnsi="Arial" w:cs="Arial"/>
          <w:i/>
          <w:color w:val="000000"/>
          <w:sz w:val="24"/>
          <w:szCs w:val="24"/>
          <w:lang w:eastAsia="ru-RU"/>
        </w:rPr>
        <w:t>Таблица 3</w:t>
      </w:r>
    </w:p>
    <w:p w:rsidR="00884538" w:rsidRPr="00A34E01" w:rsidRDefault="00884538" w:rsidP="00A34E01">
      <w:pPr>
        <w:spacing w:after="0" w:line="360" w:lineRule="auto"/>
        <w:jc w:val="center"/>
        <w:rPr>
          <w:rFonts w:ascii="Arial" w:eastAsia="Times New Roman" w:hAnsi="Arial" w:cs="Arial"/>
          <w:b/>
          <w:color w:val="000000"/>
          <w:sz w:val="24"/>
          <w:szCs w:val="24"/>
          <w:lang w:eastAsia="ru-RU"/>
        </w:rPr>
      </w:pPr>
      <w:r w:rsidRPr="00A34E01">
        <w:rPr>
          <w:rFonts w:ascii="Arial" w:eastAsia="Times New Roman" w:hAnsi="Arial" w:cs="Arial"/>
          <w:b/>
          <w:color w:val="000000"/>
          <w:sz w:val="24"/>
          <w:szCs w:val="24"/>
          <w:lang w:eastAsia="ru-RU"/>
        </w:rPr>
        <w:t>Динамика сатурации кислорода на фоне лечения в группах обследованных лиц</w:t>
      </w:r>
    </w:p>
    <w:tbl>
      <w:tblPr>
        <w:tblStyle w:val="a6"/>
        <w:tblW w:w="9152" w:type="dxa"/>
        <w:shd w:val="clear" w:color="auto" w:fill="FFFFFF" w:themeFill="background1"/>
        <w:tblLayout w:type="fixed"/>
        <w:tblLook w:val="04A0" w:firstRow="1" w:lastRow="0" w:firstColumn="1" w:lastColumn="0" w:noHBand="0" w:noVBand="1"/>
      </w:tblPr>
      <w:tblGrid>
        <w:gridCol w:w="1696"/>
        <w:gridCol w:w="2268"/>
        <w:gridCol w:w="2694"/>
        <w:gridCol w:w="2494"/>
      </w:tblGrid>
      <w:tr w:rsidR="00884538" w:rsidRPr="00A34E01" w:rsidTr="00684914">
        <w:trPr>
          <w:trHeight w:val="517"/>
        </w:trPr>
        <w:tc>
          <w:tcPr>
            <w:tcW w:w="1696" w:type="dxa"/>
            <w:vMerge w:val="restart"/>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Группа</w:t>
            </w:r>
          </w:p>
        </w:tc>
        <w:tc>
          <w:tcPr>
            <w:tcW w:w="7456" w:type="dxa"/>
            <w:gridSpan w:val="3"/>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Дни госпитализации</w:t>
            </w:r>
          </w:p>
        </w:tc>
      </w:tr>
      <w:tr w:rsidR="00884538" w:rsidRPr="00A34E01" w:rsidTr="00684914">
        <w:trPr>
          <w:trHeight w:val="573"/>
        </w:trPr>
        <w:tc>
          <w:tcPr>
            <w:tcW w:w="1696" w:type="dxa"/>
            <w:vMerge/>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p>
        </w:tc>
        <w:tc>
          <w:tcPr>
            <w:tcW w:w="2268"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День 1</w:t>
            </w:r>
          </w:p>
        </w:tc>
        <w:tc>
          <w:tcPr>
            <w:tcW w:w="2694"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День 5</w:t>
            </w:r>
          </w:p>
        </w:tc>
        <w:tc>
          <w:tcPr>
            <w:tcW w:w="2494"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День 10</w:t>
            </w:r>
          </w:p>
        </w:tc>
      </w:tr>
      <w:tr w:rsidR="00884538" w:rsidRPr="00A34E01" w:rsidTr="00684914">
        <w:trPr>
          <w:trHeight w:val="850"/>
        </w:trPr>
        <w:tc>
          <w:tcPr>
            <w:tcW w:w="1696"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Основная группа</w:t>
            </w:r>
          </w:p>
        </w:tc>
        <w:tc>
          <w:tcPr>
            <w:tcW w:w="2268"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97,1±2,73</w:t>
            </w:r>
          </w:p>
        </w:tc>
        <w:tc>
          <w:tcPr>
            <w:tcW w:w="2694"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97,5±1,98</w:t>
            </w:r>
          </w:p>
        </w:tc>
        <w:tc>
          <w:tcPr>
            <w:tcW w:w="2494"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97,8±0,87</w:t>
            </w:r>
          </w:p>
        </w:tc>
      </w:tr>
      <w:tr w:rsidR="00884538" w:rsidRPr="00A34E01" w:rsidTr="00684914">
        <w:trPr>
          <w:trHeight w:val="850"/>
        </w:trPr>
        <w:tc>
          <w:tcPr>
            <w:tcW w:w="1696"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Группа сравнения</w:t>
            </w:r>
          </w:p>
        </w:tc>
        <w:tc>
          <w:tcPr>
            <w:tcW w:w="2268"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97,0±3,05</w:t>
            </w:r>
          </w:p>
        </w:tc>
        <w:tc>
          <w:tcPr>
            <w:tcW w:w="2694"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97,3±1,78</w:t>
            </w:r>
          </w:p>
        </w:tc>
        <w:tc>
          <w:tcPr>
            <w:tcW w:w="2494"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themeColor="text1"/>
                <w:sz w:val="24"/>
                <w:szCs w:val="24"/>
              </w:rPr>
            </w:pPr>
            <w:r w:rsidRPr="00A34E01">
              <w:rPr>
                <w:rFonts w:ascii="Arial" w:hAnsi="Arial" w:cs="Arial"/>
                <w:color w:val="000000" w:themeColor="text1"/>
                <w:sz w:val="24"/>
                <w:szCs w:val="24"/>
              </w:rPr>
              <w:t>97,5±0,93</w:t>
            </w:r>
          </w:p>
        </w:tc>
      </w:tr>
    </w:tbl>
    <w:p w:rsidR="00884538" w:rsidRPr="00A34E01" w:rsidRDefault="00884538" w:rsidP="00A34E01">
      <w:pPr>
        <w:spacing w:after="0" w:line="360" w:lineRule="auto"/>
        <w:ind w:firstLine="567"/>
        <w:jc w:val="both"/>
        <w:rPr>
          <w:rFonts w:ascii="Arial" w:hAnsi="Arial" w:cs="Arial"/>
          <w:sz w:val="24"/>
          <w:szCs w:val="24"/>
        </w:rPr>
      </w:pPr>
    </w:p>
    <w:p w:rsidR="00884538" w:rsidRPr="00A34E01" w:rsidRDefault="00884538" w:rsidP="00A34E01">
      <w:pPr>
        <w:spacing w:after="0" w:line="360" w:lineRule="auto"/>
        <w:ind w:firstLine="567"/>
        <w:jc w:val="both"/>
        <w:rPr>
          <w:rFonts w:ascii="Arial" w:eastAsia="Times New Roman" w:hAnsi="Arial" w:cs="Arial"/>
          <w:color w:val="000000"/>
          <w:sz w:val="24"/>
          <w:szCs w:val="24"/>
          <w:lang w:eastAsia="ru-RU"/>
        </w:rPr>
      </w:pPr>
      <w:r w:rsidRPr="00A34E01">
        <w:rPr>
          <w:rFonts w:ascii="Arial" w:eastAsia="Times New Roman" w:hAnsi="Arial" w:cs="Arial"/>
          <w:color w:val="000000"/>
          <w:sz w:val="24"/>
          <w:szCs w:val="24"/>
          <w:lang w:eastAsia="ru-RU"/>
        </w:rPr>
        <w:t xml:space="preserve">В таблице 4 отражена динамика основных показателей общеклинического анализа крови в процессе лечения. На исходном этапе содержание лейкоцитов, </w:t>
      </w:r>
      <w:r w:rsidRPr="00A34E01">
        <w:rPr>
          <w:rFonts w:ascii="Arial" w:eastAsia="Times New Roman" w:hAnsi="Arial" w:cs="Arial"/>
          <w:color w:val="000000"/>
          <w:sz w:val="24"/>
          <w:szCs w:val="24"/>
          <w:lang w:eastAsia="ru-RU"/>
        </w:rPr>
        <w:lastRenderedPageBreak/>
        <w:t xml:space="preserve">гемоглобина, лимфоцитов, тромбоцитов, величина СОЭ соответствовали </w:t>
      </w:r>
      <w:proofErr w:type="spellStart"/>
      <w:r w:rsidRPr="00A34E01">
        <w:rPr>
          <w:rFonts w:ascii="Arial" w:eastAsia="Times New Roman" w:hAnsi="Arial" w:cs="Arial"/>
          <w:color w:val="000000"/>
          <w:sz w:val="24"/>
          <w:szCs w:val="24"/>
          <w:lang w:eastAsia="ru-RU"/>
        </w:rPr>
        <w:t>референсному</w:t>
      </w:r>
      <w:proofErr w:type="spellEnd"/>
      <w:r w:rsidRPr="00A34E01">
        <w:rPr>
          <w:rFonts w:ascii="Arial" w:eastAsia="Times New Roman" w:hAnsi="Arial" w:cs="Arial"/>
          <w:color w:val="000000"/>
          <w:sz w:val="24"/>
          <w:szCs w:val="24"/>
          <w:lang w:eastAsia="ru-RU"/>
        </w:rPr>
        <w:t xml:space="preserve"> диапазону значений в каждой группе обследованных лиц. На 12-14 день лечения, в группе </w:t>
      </w:r>
      <w:proofErr w:type="spellStart"/>
      <w:r w:rsidRPr="00A34E01">
        <w:rPr>
          <w:rFonts w:ascii="Arial" w:eastAsia="Times New Roman" w:hAnsi="Arial" w:cs="Arial"/>
          <w:color w:val="000000"/>
          <w:sz w:val="24"/>
          <w:szCs w:val="24"/>
          <w:lang w:eastAsia="ru-RU"/>
        </w:rPr>
        <w:t>тилорона</w:t>
      </w:r>
      <w:proofErr w:type="spellEnd"/>
      <w:r w:rsidRPr="00A34E01">
        <w:rPr>
          <w:rFonts w:ascii="Arial" w:eastAsia="Times New Roman" w:hAnsi="Arial" w:cs="Arial"/>
          <w:color w:val="000000"/>
          <w:sz w:val="24"/>
          <w:szCs w:val="24"/>
          <w:lang w:eastAsia="ru-RU"/>
        </w:rPr>
        <w:t xml:space="preserve"> было отмечено значимое возрастание уровня лейкоцитов (на 25%, р=0,01), лимфоцитов (на 37%, р=0,04), тромбоцитов (на 64%, р=0,001), незначимое уменьшение СОЭ (на 20%, р=0,10). В группе стандартной терапии наблюдались аналогичные по направленности изменения со стороны каждого показателей общеклинического анализа крови, не достигшие статистической достоверности (</w:t>
      </w:r>
      <w:r w:rsidRPr="00A34E01">
        <w:rPr>
          <w:rFonts w:ascii="Arial" w:eastAsia="Times New Roman" w:hAnsi="Arial" w:cs="Arial"/>
          <w:color w:val="000000"/>
          <w:sz w:val="24"/>
          <w:szCs w:val="24"/>
          <w:lang w:val="en-US" w:eastAsia="ru-RU"/>
        </w:rPr>
        <w:t>p</w:t>
      </w:r>
      <w:r w:rsidRPr="00A34E01">
        <w:rPr>
          <w:rFonts w:ascii="Arial" w:eastAsia="Times New Roman" w:hAnsi="Arial" w:cs="Arial"/>
          <w:color w:val="000000"/>
          <w:sz w:val="24"/>
          <w:szCs w:val="24"/>
          <w:lang w:eastAsia="ru-RU"/>
        </w:rPr>
        <w:t>&gt;0,05 для каждого показателя).</w:t>
      </w:r>
    </w:p>
    <w:p w:rsidR="00884538" w:rsidRPr="00A34E01" w:rsidRDefault="00884538" w:rsidP="00A34E01">
      <w:pPr>
        <w:spacing w:after="0" w:line="360" w:lineRule="auto"/>
        <w:jc w:val="right"/>
        <w:rPr>
          <w:rFonts w:ascii="Arial" w:eastAsia="Times New Roman" w:hAnsi="Arial" w:cs="Arial"/>
          <w:i/>
          <w:color w:val="000000"/>
          <w:sz w:val="24"/>
          <w:szCs w:val="24"/>
          <w:lang w:eastAsia="ru-RU"/>
        </w:rPr>
      </w:pPr>
      <w:r w:rsidRPr="00A34E01">
        <w:rPr>
          <w:rFonts w:ascii="Arial" w:eastAsia="Times New Roman" w:hAnsi="Arial" w:cs="Arial"/>
          <w:i/>
          <w:color w:val="000000"/>
          <w:sz w:val="24"/>
          <w:szCs w:val="24"/>
          <w:lang w:eastAsia="ru-RU"/>
        </w:rPr>
        <w:t>Таблица 4</w:t>
      </w:r>
    </w:p>
    <w:p w:rsidR="00884538" w:rsidRPr="00A34E01" w:rsidRDefault="00884538" w:rsidP="00A34E01">
      <w:pPr>
        <w:spacing w:after="0" w:line="360" w:lineRule="auto"/>
        <w:jc w:val="center"/>
        <w:rPr>
          <w:rFonts w:ascii="Arial" w:eastAsia="Times New Roman" w:hAnsi="Arial" w:cs="Arial"/>
          <w:b/>
          <w:color w:val="000000"/>
          <w:sz w:val="24"/>
          <w:szCs w:val="24"/>
          <w:lang w:eastAsia="ru-RU"/>
        </w:rPr>
      </w:pPr>
      <w:r w:rsidRPr="00A34E01">
        <w:rPr>
          <w:rFonts w:ascii="Arial" w:eastAsia="Times New Roman" w:hAnsi="Arial" w:cs="Arial"/>
          <w:b/>
          <w:color w:val="000000"/>
          <w:sz w:val="24"/>
          <w:szCs w:val="24"/>
          <w:lang w:eastAsia="ru-RU"/>
        </w:rPr>
        <w:t>Динамика показателей общеклинического анализа крови на фоне лечения в группах обследованных лиц</w:t>
      </w:r>
    </w:p>
    <w:tbl>
      <w:tblPr>
        <w:tblStyle w:val="a6"/>
        <w:tblW w:w="9452" w:type="dxa"/>
        <w:shd w:val="clear" w:color="auto" w:fill="FFFFFF" w:themeFill="background1"/>
        <w:tblLayout w:type="fixed"/>
        <w:tblLook w:val="04A0" w:firstRow="1" w:lastRow="0" w:firstColumn="1" w:lastColumn="0" w:noHBand="0" w:noVBand="1"/>
      </w:tblPr>
      <w:tblGrid>
        <w:gridCol w:w="1214"/>
        <w:gridCol w:w="1716"/>
        <w:gridCol w:w="1303"/>
        <w:gridCol w:w="1395"/>
        <w:gridCol w:w="1409"/>
        <w:gridCol w:w="1322"/>
        <w:gridCol w:w="1093"/>
      </w:tblGrid>
      <w:tr w:rsidR="00884538" w:rsidRPr="00A34E01" w:rsidTr="00684914">
        <w:trPr>
          <w:trHeight w:val="629"/>
        </w:trPr>
        <w:tc>
          <w:tcPr>
            <w:tcW w:w="1214" w:type="dxa"/>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br w:type="page"/>
              <w:t>Группа</w:t>
            </w:r>
          </w:p>
        </w:tc>
        <w:tc>
          <w:tcPr>
            <w:tcW w:w="1716" w:type="dxa"/>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Дни госпитализации</w:t>
            </w:r>
          </w:p>
        </w:tc>
        <w:tc>
          <w:tcPr>
            <w:tcW w:w="1303" w:type="dxa"/>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Лейкоциты, ˣ 10</w:t>
            </w:r>
            <w:r w:rsidRPr="00A34E01">
              <w:rPr>
                <w:rFonts w:ascii="Arial" w:hAnsi="Arial" w:cs="Arial"/>
                <w:sz w:val="24"/>
                <w:szCs w:val="24"/>
                <w:vertAlign w:val="superscript"/>
              </w:rPr>
              <w:t>9</w:t>
            </w:r>
            <w:r w:rsidRPr="00A34E01">
              <w:rPr>
                <w:rFonts w:ascii="Arial" w:hAnsi="Arial" w:cs="Arial"/>
                <w:sz w:val="24"/>
                <w:szCs w:val="24"/>
              </w:rPr>
              <w:t xml:space="preserve"> /л</w:t>
            </w:r>
          </w:p>
        </w:tc>
        <w:tc>
          <w:tcPr>
            <w:tcW w:w="1395" w:type="dxa"/>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Гемоглобин, г/л</w:t>
            </w:r>
          </w:p>
        </w:tc>
        <w:tc>
          <w:tcPr>
            <w:tcW w:w="1409" w:type="dxa"/>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Лимфоциты, ˣ 10</w:t>
            </w:r>
            <w:r w:rsidRPr="00A34E01">
              <w:rPr>
                <w:rFonts w:ascii="Arial" w:hAnsi="Arial" w:cs="Arial"/>
                <w:sz w:val="24"/>
                <w:szCs w:val="24"/>
                <w:vertAlign w:val="superscript"/>
              </w:rPr>
              <w:t>9</w:t>
            </w:r>
            <w:r w:rsidRPr="00A34E01">
              <w:rPr>
                <w:rFonts w:ascii="Arial" w:hAnsi="Arial" w:cs="Arial"/>
                <w:sz w:val="24"/>
                <w:szCs w:val="24"/>
              </w:rPr>
              <w:t xml:space="preserve"> /л</w:t>
            </w:r>
          </w:p>
        </w:tc>
        <w:tc>
          <w:tcPr>
            <w:tcW w:w="1322" w:type="dxa"/>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Тромбоциты, ˣ 10</w:t>
            </w:r>
            <w:r w:rsidRPr="00A34E01">
              <w:rPr>
                <w:rFonts w:ascii="Arial" w:hAnsi="Arial" w:cs="Arial"/>
                <w:sz w:val="24"/>
                <w:szCs w:val="24"/>
                <w:vertAlign w:val="superscript"/>
              </w:rPr>
              <w:t>9</w:t>
            </w:r>
            <w:r w:rsidRPr="00A34E01">
              <w:rPr>
                <w:rFonts w:ascii="Arial" w:hAnsi="Arial" w:cs="Arial"/>
                <w:sz w:val="24"/>
                <w:szCs w:val="24"/>
              </w:rPr>
              <w:t xml:space="preserve"> /л</w:t>
            </w:r>
          </w:p>
          <w:p w:rsidR="00884538" w:rsidRPr="00A34E01" w:rsidRDefault="00884538" w:rsidP="00A34E01">
            <w:pPr>
              <w:spacing w:line="360" w:lineRule="auto"/>
              <w:jc w:val="center"/>
              <w:rPr>
                <w:rFonts w:ascii="Arial" w:hAnsi="Arial" w:cs="Arial"/>
                <w:sz w:val="24"/>
                <w:szCs w:val="24"/>
              </w:rPr>
            </w:pPr>
          </w:p>
        </w:tc>
        <w:tc>
          <w:tcPr>
            <w:tcW w:w="1093" w:type="dxa"/>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СОЭ, мм/ч</w:t>
            </w:r>
          </w:p>
        </w:tc>
      </w:tr>
      <w:tr w:rsidR="00884538" w:rsidRPr="00A34E01" w:rsidTr="00684914">
        <w:trPr>
          <w:trHeight w:val="590"/>
        </w:trPr>
        <w:tc>
          <w:tcPr>
            <w:tcW w:w="1214" w:type="dxa"/>
            <w:vMerge w:val="restart"/>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Основная группа</w:t>
            </w:r>
          </w:p>
        </w:tc>
        <w:tc>
          <w:tcPr>
            <w:tcW w:w="1716"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День 1</w:t>
            </w:r>
          </w:p>
        </w:tc>
        <w:tc>
          <w:tcPr>
            <w:tcW w:w="1303"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4,53±1,19</w:t>
            </w:r>
          </w:p>
        </w:tc>
        <w:tc>
          <w:tcPr>
            <w:tcW w:w="1395"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145±8,7</w:t>
            </w:r>
          </w:p>
        </w:tc>
        <w:tc>
          <w:tcPr>
            <w:tcW w:w="1409"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1,36±0,50</w:t>
            </w:r>
          </w:p>
        </w:tc>
        <w:tc>
          <w:tcPr>
            <w:tcW w:w="1322"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152±38</w:t>
            </w:r>
          </w:p>
        </w:tc>
        <w:tc>
          <w:tcPr>
            <w:tcW w:w="1093"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13,1±11,6</w:t>
            </w:r>
          </w:p>
        </w:tc>
      </w:tr>
      <w:tr w:rsidR="00884538" w:rsidRPr="00A34E01" w:rsidTr="00684914">
        <w:trPr>
          <w:trHeight w:val="590"/>
        </w:trPr>
        <w:tc>
          <w:tcPr>
            <w:tcW w:w="1214" w:type="dxa"/>
            <w:vMerge/>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p>
        </w:tc>
        <w:tc>
          <w:tcPr>
            <w:tcW w:w="1716"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День 12-14</w:t>
            </w:r>
          </w:p>
        </w:tc>
        <w:tc>
          <w:tcPr>
            <w:tcW w:w="1303"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5,65±1,14</w:t>
            </w:r>
          </w:p>
        </w:tc>
        <w:tc>
          <w:tcPr>
            <w:tcW w:w="1395"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146±7,73</w:t>
            </w:r>
          </w:p>
        </w:tc>
        <w:tc>
          <w:tcPr>
            <w:tcW w:w="1409"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1,87±0,47</w:t>
            </w:r>
          </w:p>
        </w:tc>
        <w:tc>
          <w:tcPr>
            <w:tcW w:w="1322"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251±79,3</w:t>
            </w:r>
          </w:p>
        </w:tc>
        <w:tc>
          <w:tcPr>
            <w:tcW w:w="1093"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10,4±8,86</w:t>
            </w:r>
          </w:p>
        </w:tc>
      </w:tr>
      <w:tr w:rsidR="00884538" w:rsidRPr="00A34E01" w:rsidTr="00684914">
        <w:trPr>
          <w:trHeight w:val="590"/>
        </w:trPr>
        <w:tc>
          <w:tcPr>
            <w:tcW w:w="2930" w:type="dxa"/>
            <w:gridSpan w:val="2"/>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sz w:val="24"/>
                <w:szCs w:val="24"/>
              </w:rPr>
              <w:t>р-значение</w:t>
            </w:r>
          </w:p>
        </w:tc>
        <w:tc>
          <w:tcPr>
            <w:tcW w:w="1303" w:type="dxa"/>
            <w:shd w:val="clear" w:color="auto" w:fill="FFFFFF" w:themeFill="background1"/>
            <w:vAlign w:val="center"/>
          </w:tcPr>
          <w:p w:rsidR="00884538" w:rsidRPr="00A34E01" w:rsidRDefault="00884538" w:rsidP="00A34E01">
            <w:pPr>
              <w:spacing w:line="360" w:lineRule="auto"/>
              <w:jc w:val="center"/>
              <w:rPr>
                <w:rFonts w:ascii="Arial" w:hAnsi="Arial" w:cs="Arial"/>
                <w:b/>
                <w:color w:val="000000"/>
                <w:sz w:val="24"/>
                <w:szCs w:val="24"/>
              </w:rPr>
            </w:pPr>
            <w:r w:rsidRPr="00A34E01">
              <w:rPr>
                <w:rFonts w:ascii="Arial" w:hAnsi="Arial" w:cs="Arial"/>
                <w:b/>
                <w:color w:val="000000"/>
                <w:sz w:val="24"/>
                <w:szCs w:val="24"/>
              </w:rPr>
              <w:t>р=0,01</w:t>
            </w:r>
          </w:p>
        </w:tc>
        <w:tc>
          <w:tcPr>
            <w:tcW w:w="1395"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р=0,66</w:t>
            </w:r>
          </w:p>
        </w:tc>
        <w:tc>
          <w:tcPr>
            <w:tcW w:w="1409" w:type="dxa"/>
            <w:shd w:val="clear" w:color="auto" w:fill="FFFFFF" w:themeFill="background1"/>
            <w:vAlign w:val="center"/>
          </w:tcPr>
          <w:p w:rsidR="00884538" w:rsidRPr="00A34E01" w:rsidRDefault="00884538" w:rsidP="00A34E01">
            <w:pPr>
              <w:spacing w:line="360" w:lineRule="auto"/>
              <w:jc w:val="center"/>
              <w:rPr>
                <w:rFonts w:ascii="Arial" w:hAnsi="Arial" w:cs="Arial"/>
                <w:b/>
                <w:color w:val="000000"/>
                <w:sz w:val="24"/>
                <w:szCs w:val="24"/>
              </w:rPr>
            </w:pPr>
            <w:r w:rsidRPr="00A34E01">
              <w:rPr>
                <w:rFonts w:ascii="Arial" w:hAnsi="Arial" w:cs="Arial"/>
                <w:b/>
                <w:color w:val="000000"/>
                <w:sz w:val="24"/>
                <w:szCs w:val="24"/>
              </w:rPr>
              <w:t>р=0,04</w:t>
            </w:r>
          </w:p>
        </w:tc>
        <w:tc>
          <w:tcPr>
            <w:tcW w:w="1322" w:type="dxa"/>
            <w:shd w:val="clear" w:color="auto" w:fill="FFFFFF" w:themeFill="background1"/>
            <w:vAlign w:val="center"/>
          </w:tcPr>
          <w:p w:rsidR="00884538" w:rsidRPr="00A34E01" w:rsidRDefault="00884538" w:rsidP="00A34E01">
            <w:pPr>
              <w:spacing w:line="360" w:lineRule="auto"/>
              <w:jc w:val="center"/>
              <w:rPr>
                <w:rFonts w:ascii="Arial" w:hAnsi="Arial" w:cs="Arial"/>
                <w:b/>
                <w:color w:val="000000"/>
                <w:sz w:val="24"/>
                <w:szCs w:val="24"/>
              </w:rPr>
            </w:pPr>
            <w:r w:rsidRPr="00A34E01">
              <w:rPr>
                <w:rFonts w:ascii="Arial" w:hAnsi="Arial" w:cs="Arial"/>
                <w:b/>
                <w:color w:val="000000"/>
                <w:sz w:val="24"/>
                <w:szCs w:val="24"/>
              </w:rPr>
              <w:t>р=0,001</w:t>
            </w:r>
          </w:p>
        </w:tc>
        <w:tc>
          <w:tcPr>
            <w:tcW w:w="1093"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р=0,10</w:t>
            </w:r>
          </w:p>
        </w:tc>
      </w:tr>
      <w:tr w:rsidR="00884538" w:rsidRPr="00A34E01" w:rsidTr="00684914">
        <w:trPr>
          <w:trHeight w:val="559"/>
        </w:trPr>
        <w:tc>
          <w:tcPr>
            <w:tcW w:w="9452" w:type="dxa"/>
            <w:gridSpan w:val="7"/>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p>
        </w:tc>
      </w:tr>
      <w:tr w:rsidR="00884538" w:rsidRPr="00A34E01" w:rsidTr="00684914">
        <w:trPr>
          <w:trHeight w:val="594"/>
        </w:trPr>
        <w:tc>
          <w:tcPr>
            <w:tcW w:w="1214" w:type="dxa"/>
            <w:vMerge w:val="restart"/>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r w:rsidRPr="00A34E01">
              <w:rPr>
                <w:rFonts w:ascii="Arial" w:hAnsi="Arial" w:cs="Arial"/>
                <w:sz w:val="24"/>
                <w:szCs w:val="24"/>
              </w:rPr>
              <w:t>Группа сравнения</w:t>
            </w:r>
          </w:p>
        </w:tc>
        <w:tc>
          <w:tcPr>
            <w:tcW w:w="1716"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День 1</w:t>
            </w:r>
          </w:p>
        </w:tc>
        <w:tc>
          <w:tcPr>
            <w:tcW w:w="1303"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6,53±1,47</w:t>
            </w:r>
          </w:p>
        </w:tc>
        <w:tc>
          <w:tcPr>
            <w:tcW w:w="1395"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145±12,0</w:t>
            </w:r>
          </w:p>
        </w:tc>
        <w:tc>
          <w:tcPr>
            <w:tcW w:w="1409"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1,96±0,77</w:t>
            </w:r>
          </w:p>
        </w:tc>
        <w:tc>
          <w:tcPr>
            <w:tcW w:w="1322"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194±44,7</w:t>
            </w:r>
          </w:p>
        </w:tc>
        <w:tc>
          <w:tcPr>
            <w:tcW w:w="1093"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13,9±11,9</w:t>
            </w:r>
          </w:p>
        </w:tc>
      </w:tr>
      <w:tr w:rsidR="00884538" w:rsidRPr="00A34E01" w:rsidTr="00684914">
        <w:trPr>
          <w:trHeight w:val="594"/>
        </w:trPr>
        <w:tc>
          <w:tcPr>
            <w:tcW w:w="1214" w:type="dxa"/>
            <w:vMerge/>
            <w:shd w:val="clear" w:color="auto" w:fill="FFFFFF" w:themeFill="background1"/>
            <w:vAlign w:val="center"/>
          </w:tcPr>
          <w:p w:rsidR="00884538" w:rsidRPr="00A34E01" w:rsidRDefault="00884538" w:rsidP="00A34E01">
            <w:pPr>
              <w:spacing w:line="360" w:lineRule="auto"/>
              <w:jc w:val="center"/>
              <w:rPr>
                <w:rFonts w:ascii="Arial" w:hAnsi="Arial" w:cs="Arial"/>
                <w:sz w:val="24"/>
                <w:szCs w:val="24"/>
              </w:rPr>
            </w:pPr>
          </w:p>
        </w:tc>
        <w:tc>
          <w:tcPr>
            <w:tcW w:w="1716"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День 12-14</w:t>
            </w:r>
          </w:p>
        </w:tc>
        <w:tc>
          <w:tcPr>
            <w:tcW w:w="1303"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6,30±1,49</w:t>
            </w:r>
          </w:p>
        </w:tc>
        <w:tc>
          <w:tcPr>
            <w:tcW w:w="1395"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143±12,0</w:t>
            </w:r>
          </w:p>
        </w:tc>
        <w:tc>
          <w:tcPr>
            <w:tcW w:w="1409"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1,98±0,35</w:t>
            </w:r>
          </w:p>
        </w:tc>
        <w:tc>
          <w:tcPr>
            <w:tcW w:w="1322"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241±86,1</w:t>
            </w:r>
          </w:p>
        </w:tc>
        <w:tc>
          <w:tcPr>
            <w:tcW w:w="1093"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13,5±11</w:t>
            </w:r>
          </w:p>
        </w:tc>
      </w:tr>
      <w:tr w:rsidR="00884538" w:rsidRPr="00A34E01" w:rsidTr="00684914">
        <w:trPr>
          <w:trHeight w:val="594"/>
        </w:trPr>
        <w:tc>
          <w:tcPr>
            <w:tcW w:w="2930" w:type="dxa"/>
            <w:gridSpan w:val="2"/>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sz w:val="24"/>
                <w:szCs w:val="24"/>
              </w:rPr>
              <w:t>р-значение</w:t>
            </w:r>
          </w:p>
        </w:tc>
        <w:tc>
          <w:tcPr>
            <w:tcW w:w="1303"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р=0,72</w:t>
            </w:r>
          </w:p>
        </w:tc>
        <w:tc>
          <w:tcPr>
            <w:tcW w:w="1395"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р=0,85</w:t>
            </w:r>
          </w:p>
        </w:tc>
        <w:tc>
          <w:tcPr>
            <w:tcW w:w="1409"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р=0,44</w:t>
            </w:r>
          </w:p>
        </w:tc>
        <w:tc>
          <w:tcPr>
            <w:tcW w:w="1322"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р=0,26</w:t>
            </w:r>
          </w:p>
        </w:tc>
        <w:tc>
          <w:tcPr>
            <w:tcW w:w="1093" w:type="dxa"/>
            <w:shd w:val="clear" w:color="auto" w:fill="FFFFFF" w:themeFill="background1"/>
            <w:vAlign w:val="center"/>
          </w:tcPr>
          <w:p w:rsidR="00884538" w:rsidRPr="00A34E01" w:rsidRDefault="00884538" w:rsidP="00A34E01">
            <w:pPr>
              <w:spacing w:line="360" w:lineRule="auto"/>
              <w:jc w:val="center"/>
              <w:rPr>
                <w:rFonts w:ascii="Arial" w:hAnsi="Arial" w:cs="Arial"/>
                <w:color w:val="000000"/>
                <w:sz w:val="24"/>
                <w:szCs w:val="24"/>
              </w:rPr>
            </w:pPr>
            <w:r w:rsidRPr="00A34E01">
              <w:rPr>
                <w:rFonts w:ascii="Arial" w:hAnsi="Arial" w:cs="Arial"/>
                <w:color w:val="000000"/>
                <w:sz w:val="24"/>
                <w:szCs w:val="24"/>
              </w:rPr>
              <w:t>р=0,78</w:t>
            </w:r>
          </w:p>
        </w:tc>
      </w:tr>
    </w:tbl>
    <w:p w:rsidR="00884538" w:rsidRPr="00A34E01" w:rsidRDefault="00884538" w:rsidP="00A34E01">
      <w:pPr>
        <w:spacing w:after="0" w:line="360" w:lineRule="auto"/>
        <w:ind w:firstLine="567"/>
        <w:jc w:val="both"/>
        <w:rPr>
          <w:rFonts w:ascii="Arial" w:hAnsi="Arial" w:cs="Arial"/>
          <w:sz w:val="24"/>
          <w:szCs w:val="24"/>
        </w:rPr>
      </w:pPr>
    </w:p>
    <w:p w:rsidR="00884538" w:rsidRPr="00A34E01" w:rsidRDefault="00884538" w:rsidP="00A34E01">
      <w:pPr>
        <w:spacing w:after="0" w:line="360" w:lineRule="auto"/>
        <w:ind w:firstLine="567"/>
        <w:jc w:val="both"/>
        <w:rPr>
          <w:rFonts w:ascii="Arial" w:eastAsia="Times New Roman" w:hAnsi="Arial" w:cs="Arial"/>
          <w:i/>
          <w:color w:val="000000"/>
          <w:sz w:val="24"/>
          <w:szCs w:val="24"/>
          <w:lang w:eastAsia="ru-RU"/>
        </w:rPr>
      </w:pPr>
      <w:r w:rsidRPr="00A34E01">
        <w:rPr>
          <w:rFonts w:ascii="Arial" w:hAnsi="Arial" w:cs="Arial"/>
          <w:sz w:val="24"/>
          <w:szCs w:val="24"/>
        </w:rPr>
        <w:t xml:space="preserve">В таблице 5 приведены данные об изменении в ходе лечения основных биохимических показателей, актуальных среди пациентов, страдающих новой </w:t>
      </w:r>
      <w:proofErr w:type="spellStart"/>
      <w:r w:rsidRPr="00A34E01">
        <w:rPr>
          <w:rFonts w:ascii="Arial" w:hAnsi="Arial" w:cs="Arial"/>
          <w:sz w:val="24"/>
          <w:szCs w:val="24"/>
        </w:rPr>
        <w:t>коронавирусной</w:t>
      </w:r>
      <w:proofErr w:type="spellEnd"/>
      <w:r w:rsidRPr="00A34E01">
        <w:rPr>
          <w:rFonts w:ascii="Arial" w:hAnsi="Arial" w:cs="Arial"/>
          <w:sz w:val="24"/>
          <w:szCs w:val="24"/>
        </w:rPr>
        <w:t xml:space="preserve"> инфекцией. Как следует из таблицы 5, пациенты обеих групп характеризовались нормальным сывороточным уровнем Д-</w:t>
      </w:r>
      <w:proofErr w:type="spellStart"/>
      <w:r w:rsidRPr="00A34E01">
        <w:rPr>
          <w:rFonts w:ascii="Arial" w:hAnsi="Arial" w:cs="Arial"/>
          <w:sz w:val="24"/>
          <w:szCs w:val="24"/>
        </w:rPr>
        <w:t>димера</w:t>
      </w:r>
      <w:proofErr w:type="spellEnd"/>
      <w:r w:rsidRPr="00A34E01">
        <w:rPr>
          <w:rFonts w:ascii="Arial" w:hAnsi="Arial" w:cs="Arial"/>
          <w:sz w:val="24"/>
          <w:szCs w:val="24"/>
        </w:rPr>
        <w:t xml:space="preserve">, </w:t>
      </w:r>
      <w:proofErr w:type="spellStart"/>
      <w:r w:rsidRPr="00A34E01">
        <w:rPr>
          <w:rFonts w:ascii="Arial" w:hAnsi="Arial" w:cs="Arial"/>
          <w:sz w:val="24"/>
          <w:szCs w:val="24"/>
        </w:rPr>
        <w:t>тропонина</w:t>
      </w:r>
      <w:proofErr w:type="spellEnd"/>
      <w:r w:rsidRPr="00A34E01">
        <w:rPr>
          <w:rFonts w:ascii="Arial" w:hAnsi="Arial" w:cs="Arial"/>
          <w:sz w:val="24"/>
          <w:szCs w:val="24"/>
        </w:rPr>
        <w:t xml:space="preserve">, </w:t>
      </w:r>
      <w:proofErr w:type="spellStart"/>
      <w:r w:rsidRPr="00A34E01">
        <w:rPr>
          <w:rFonts w:ascii="Arial" w:hAnsi="Arial" w:cs="Arial"/>
          <w:sz w:val="24"/>
          <w:szCs w:val="24"/>
        </w:rPr>
        <w:t>ферритина</w:t>
      </w:r>
      <w:proofErr w:type="spellEnd"/>
      <w:r w:rsidRPr="00A34E01">
        <w:rPr>
          <w:rFonts w:ascii="Arial" w:hAnsi="Arial" w:cs="Arial"/>
          <w:sz w:val="24"/>
          <w:szCs w:val="24"/>
        </w:rPr>
        <w:t xml:space="preserve">, пограничным-незначительно повышенным содержанием фибриногена и ЛДГ, умеренным повышением уровня С-реактивного белка. На фоне проводимой терапии было отмечено несущественное уменьшение концентрации в крови </w:t>
      </w:r>
      <w:r w:rsidRPr="00A34E01">
        <w:rPr>
          <w:rFonts w:ascii="Arial" w:hAnsi="Arial" w:cs="Arial"/>
          <w:sz w:val="24"/>
          <w:szCs w:val="24"/>
        </w:rPr>
        <w:lastRenderedPageBreak/>
        <w:t>фибриногена, Д-</w:t>
      </w:r>
      <w:proofErr w:type="spellStart"/>
      <w:r w:rsidRPr="00A34E01">
        <w:rPr>
          <w:rFonts w:ascii="Arial" w:hAnsi="Arial" w:cs="Arial"/>
          <w:sz w:val="24"/>
          <w:szCs w:val="24"/>
        </w:rPr>
        <w:t>димера</w:t>
      </w:r>
      <w:proofErr w:type="spellEnd"/>
      <w:r w:rsidRPr="00A34E01">
        <w:rPr>
          <w:rFonts w:ascii="Arial" w:hAnsi="Arial" w:cs="Arial"/>
          <w:sz w:val="24"/>
          <w:szCs w:val="24"/>
        </w:rPr>
        <w:t xml:space="preserve">, </w:t>
      </w:r>
      <w:proofErr w:type="spellStart"/>
      <w:r w:rsidRPr="00A34E01">
        <w:rPr>
          <w:rFonts w:ascii="Arial" w:hAnsi="Arial" w:cs="Arial"/>
          <w:sz w:val="24"/>
          <w:szCs w:val="24"/>
        </w:rPr>
        <w:t>ферритина</w:t>
      </w:r>
      <w:proofErr w:type="spellEnd"/>
      <w:r w:rsidRPr="00A34E01">
        <w:rPr>
          <w:rFonts w:ascii="Arial" w:hAnsi="Arial" w:cs="Arial"/>
          <w:sz w:val="24"/>
          <w:szCs w:val="24"/>
        </w:rPr>
        <w:t xml:space="preserve"> у лиц основной группы и группы сравнения (</w:t>
      </w:r>
      <w:r w:rsidRPr="00A34E01">
        <w:rPr>
          <w:rFonts w:ascii="Arial" w:hAnsi="Arial" w:cs="Arial"/>
          <w:sz w:val="24"/>
          <w:szCs w:val="24"/>
          <w:lang w:val="en-US"/>
        </w:rPr>
        <w:t>p</w:t>
      </w:r>
      <w:r w:rsidRPr="00A34E01">
        <w:rPr>
          <w:rFonts w:ascii="Arial" w:hAnsi="Arial" w:cs="Arial"/>
          <w:sz w:val="24"/>
          <w:szCs w:val="24"/>
        </w:rPr>
        <w:t xml:space="preserve">&gt;0,05 для каждого показателя в обеих группах). Вместе с тем, у пациентов, получавших </w:t>
      </w:r>
      <w:proofErr w:type="spellStart"/>
      <w:r w:rsidRPr="00A34E01">
        <w:rPr>
          <w:rFonts w:ascii="Arial" w:hAnsi="Arial" w:cs="Arial"/>
          <w:sz w:val="24"/>
          <w:szCs w:val="24"/>
        </w:rPr>
        <w:t>тилорон</w:t>
      </w:r>
      <w:proofErr w:type="spellEnd"/>
      <w:r w:rsidRPr="00A34E01">
        <w:rPr>
          <w:rFonts w:ascii="Arial" w:hAnsi="Arial" w:cs="Arial"/>
          <w:sz w:val="24"/>
          <w:szCs w:val="24"/>
        </w:rPr>
        <w:t xml:space="preserve"> либо стандартное лечение, было обнаружено значимое относительно исходных величин снижение уровня СРБ (на 90%, р=0,005; на 85%, р=0,01 соответственно), ЛДГ (на 38%, р=0,003; на 19%, р=0,03 соответственно), </w:t>
      </w:r>
      <w:proofErr w:type="spellStart"/>
      <w:r w:rsidRPr="00A34E01">
        <w:rPr>
          <w:rFonts w:ascii="Arial" w:hAnsi="Arial" w:cs="Arial"/>
          <w:sz w:val="24"/>
          <w:szCs w:val="24"/>
        </w:rPr>
        <w:t>тропонина</w:t>
      </w:r>
      <w:proofErr w:type="spellEnd"/>
      <w:r w:rsidRPr="00A34E01">
        <w:rPr>
          <w:rFonts w:ascii="Arial" w:hAnsi="Arial" w:cs="Arial"/>
          <w:sz w:val="24"/>
          <w:szCs w:val="24"/>
        </w:rPr>
        <w:t xml:space="preserve"> (на 21%, р=0,04; на 20%, р=0,09).</w:t>
      </w:r>
    </w:p>
    <w:p w:rsidR="00884538" w:rsidRPr="00A34E01" w:rsidRDefault="00884538" w:rsidP="00A34E01">
      <w:pPr>
        <w:spacing w:after="0" w:line="360" w:lineRule="auto"/>
        <w:jc w:val="right"/>
        <w:rPr>
          <w:rFonts w:ascii="Arial" w:eastAsia="Times New Roman" w:hAnsi="Arial" w:cs="Arial"/>
          <w:i/>
          <w:color w:val="000000"/>
          <w:sz w:val="24"/>
          <w:szCs w:val="24"/>
          <w:lang w:eastAsia="ru-RU"/>
        </w:rPr>
      </w:pPr>
      <w:r w:rsidRPr="00A34E01">
        <w:rPr>
          <w:rFonts w:ascii="Arial" w:eastAsia="Times New Roman" w:hAnsi="Arial" w:cs="Arial"/>
          <w:i/>
          <w:color w:val="000000"/>
          <w:sz w:val="24"/>
          <w:szCs w:val="24"/>
          <w:lang w:eastAsia="ru-RU"/>
        </w:rPr>
        <w:t>Таблица 5</w:t>
      </w:r>
    </w:p>
    <w:p w:rsidR="00884538" w:rsidRPr="00A34E01" w:rsidRDefault="00884538" w:rsidP="00A34E01">
      <w:pPr>
        <w:spacing w:after="0" w:line="360" w:lineRule="auto"/>
        <w:jc w:val="center"/>
        <w:rPr>
          <w:rFonts w:ascii="Arial" w:eastAsia="Times New Roman" w:hAnsi="Arial" w:cs="Arial"/>
          <w:b/>
          <w:color w:val="000000"/>
          <w:sz w:val="24"/>
          <w:szCs w:val="24"/>
          <w:lang w:eastAsia="ru-RU"/>
        </w:rPr>
      </w:pPr>
      <w:r w:rsidRPr="00A34E01">
        <w:rPr>
          <w:rFonts w:ascii="Arial" w:eastAsia="Times New Roman" w:hAnsi="Arial" w:cs="Arial"/>
          <w:b/>
          <w:color w:val="000000"/>
          <w:sz w:val="24"/>
          <w:szCs w:val="24"/>
          <w:lang w:eastAsia="ru-RU"/>
        </w:rPr>
        <w:t>Динамика основных биохимических показателей крови на фоне лечения в группах обследованных лиц</w:t>
      </w:r>
    </w:p>
    <w:tbl>
      <w:tblPr>
        <w:tblStyle w:val="a6"/>
        <w:tblW w:w="9510" w:type="dxa"/>
        <w:shd w:val="clear" w:color="auto" w:fill="FFFFFF" w:themeFill="background1"/>
        <w:tblLayout w:type="fixed"/>
        <w:tblLook w:val="04A0" w:firstRow="1" w:lastRow="0" w:firstColumn="1" w:lastColumn="0" w:noHBand="0" w:noVBand="1"/>
      </w:tblPr>
      <w:tblGrid>
        <w:gridCol w:w="1258"/>
        <w:gridCol w:w="1116"/>
        <w:gridCol w:w="1188"/>
        <w:gridCol w:w="1188"/>
        <w:gridCol w:w="1188"/>
        <w:gridCol w:w="1188"/>
        <w:gridCol w:w="1196"/>
        <w:gridCol w:w="1188"/>
      </w:tblGrid>
      <w:tr w:rsidR="00884538" w:rsidRPr="000D78CB" w:rsidTr="00684914">
        <w:trPr>
          <w:trHeight w:val="967"/>
        </w:trPr>
        <w:tc>
          <w:tcPr>
            <w:tcW w:w="125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br w:type="page"/>
              <w:t>Группа</w:t>
            </w:r>
          </w:p>
        </w:tc>
        <w:tc>
          <w:tcPr>
            <w:tcW w:w="1116"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 xml:space="preserve">Дни </w:t>
            </w:r>
            <w:proofErr w:type="spellStart"/>
            <w:r w:rsidRPr="000D78CB">
              <w:rPr>
                <w:rFonts w:ascii="Arial" w:hAnsi="Arial" w:cs="Arial"/>
                <w:color w:val="000000" w:themeColor="text1"/>
                <w:sz w:val="24"/>
              </w:rPr>
              <w:t>госпита-лизации</w:t>
            </w:r>
            <w:proofErr w:type="spellEnd"/>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Фибриноген, г/л</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Д-</w:t>
            </w:r>
            <w:proofErr w:type="spellStart"/>
            <w:r w:rsidRPr="000D78CB">
              <w:rPr>
                <w:rFonts w:ascii="Arial" w:hAnsi="Arial" w:cs="Arial"/>
                <w:color w:val="000000" w:themeColor="text1"/>
                <w:sz w:val="24"/>
              </w:rPr>
              <w:t>димер</w:t>
            </w:r>
            <w:proofErr w:type="spellEnd"/>
            <w:r w:rsidRPr="000D78CB">
              <w:rPr>
                <w:rFonts w:ascii="Arial" w:hAnsi="Arial" w:cs="Arial"/>
                <w:color w:val="000000" w:themeColor="text1"/>
                <w:sz w:val="24"/>
              </w:rPr>
              <w:t xml:space="preserve">, </w:t>
            </w:r>
            <w:proofErr w:type="spellStart"/>
            <w:r w:rsidRPr="000D78CB">
              <w:rPr>
                <w:rFonts w:ascii="Arial" w:hAnsi="Arial" w:cs="Arial"/>
                <w:color w:val="000000" w:themeColor="text1"/>
                <w:sz w:val="24"/>
              </w:rPr>
              <w:t>нг</w:t>
            </w:r>
            <w:proofErr w:type="spellEnd"/>
            <w:r w:rsidRPr="000D78CB">
              <w:rPr>
                <w:rFonts w:ascii="Arial" w:hAnsi="Arial" w:cs="Arial"/>
                <w:color w:val="000000" w:themeColor="text1"/>
                <w:sz w:val="24"/>
              </w:rPr>
              <w:t>/мл</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СРБ, мг/л</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proofErr w:type="spellStart"/>
            <w:r w:rsidRPr="000D78CB">
              <w:rPr>
                <w:rFonts w:ascii="Arial" w:hAnsi="Arial" w:cs="Arial"/>
                <w:color w:val="000000" w:themeColor="text1"/>
                <w:sz w:val="24"/>
              </w:rPr>
              <w:t>Ферритин</w:t>
            </w:r>
            <w:proofErr w:type="spellEnd"/>
            <w:r w:rsidRPr="000D78CB">
              <w:rPr>
                <w:rFonts w:ascii="Arial" w:hAnsi="Arial" w:cs="Arial"/>
                <w:color w:val="000000" w:themeColor="text1"/>
                <w:sz w:val="24"/>
              </w:rPr>
              <w:t xml:space="preserve">,  </w:t>
            </w:r>
            <w:proofErr w:type="spellStart"/>
            <w:r w:rsidRPr="000D78CB">
              <w:rPr>
                <w:rFonts w:ascii="Arial" w:hAnsi="Arial" w:cs="Arial"/>
                <w:color w:val="000000" w:themeColor="text1"/>
                <w:sz w:val="24"/>
              </w:rPr>
              <w:t>нг</w:t>
            </w:r>
            <w:proofErr w:type="spellEnd"/>
            <w:r w:rsidRPr="000D78CB">
              <w:rPr>
                <w:rFonts w:ascii="Arial" w:hAnsi="Arial" w:cs="Arial"/>
                <w:color w:val="000000" w:themeColor="text1"/>
                <w:sz w:val="24"/>
              </w:rPr>
              <w:t>/мл</w:t>
            </w:r>
          </w:p>
        </w:tc>
        <w:tc>
          <w:tcPr>
            <w:tcW w:w="1196"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 xml:space="preserve">ЛДГ, </w:t>
            </w:r>
            <w:proofErr w:type="spellStart"/>
            <w:r w:rsidRPr="000D78CB">
              <w:rPr>
                <w:rFonts w:ascii="Arial" w:hAnsi="Arial" w:cs="Arial"/>
                <w:color w:val="000000" w:themeColor="text1"/>
                <w:sz w:val="24"/>
              </w:rPr>
              <w:t>ед</w:t>
            </w:r>
            <w:proofErr w:type="spellEnd"/>
            <w:r w:rsidRPr="000D78CB">
              <w:rPr>
                <w:rFonts w:ascii="Arial" w:hAnsi="Arial" w:cs="Arial"/>
                <w:color w:val="000000" w:themeColor="text1"/>
                <w:sz w:val="24"/>
              </w:rPr>
              <w:t>/л</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proofErr w:type="spellStart"/>
            <w:r w:rsidRPr="000D78CB">
              <w:rPr>
                <w:rFonts w:ascii="Arial" w:hAnsi="Arial" w:cs="Arial"/>
                <w:color w:val="000000" w:themeColor="text1"/>
                <w:sz w:val="24"/>
              </w:rPr>
              <w:t>Тропонин</w:t>
            </w:r>
            <w:proofErr w:type="spellEnd"/>
            <w:r w:rsidRPr="000D78CB">
              <w:rPr>
                <w:rFonts w:ascii="Arial" w:hAnsi="Arial" w:cs="Arial"/>
                <w:color w:val="000000" w:themeColor="text1"/>
                <w:sz w:val="24"/>
              </w:rPr>
              <w:t xml:space="preserve">, </w:t>
            </w:r>
            <w:proofErr w:type="spellStart"/>
            <w:r w:rsidRPr="000D78CB">
              <w:rPr>
                <w:rFonts w:ascii="Arial" w:hAnsi="Arial" w:cs="Arial"/>
                <w:color w:val="000000" w:themeColor="text1"/>
                <w:sz w:val="24"/>
              </w:rPr>
              <w:t>нг</w:t>
            </w:r>
            <w:proofErr w:type="spellEnd"/>
            <w:r w:rsidRPr="000D78CB">
              <w:rPr>
                <w:rFonts w:ascii="Arial" w:hAnsi="Arial" w:cs="Arial"/>
                <w:color w:val="000000" w:themeColor="text1"/>
                <w:sz w:val="24"/>
              </w:rPr>
              <w:t>/л</w:t>
            </w:r>
          </w:p>
        </w:tc>
      </w:tr>
      <w:tr w:rsidR="00884538" w:rsidRPr="000D78CB" w:rsidTr="00684914">
        <w:trPr>
          <w:trHeight w:val="908"/>
        </w:trPr>
        <w:tc>
          <w:tcPr>
            <w:tcW w:w="1258" w:type="dxa"/>
            <w:vMerge w:val="restart"/>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Основная группа</w:t>
            </w:r>
          </w:p>
        </w:tc>
        <w:tc>
          <w:tcPr>
            <w:tcW w:w="1116"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День 1</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4,34±0,94</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269±141</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12,5±15,6</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358±236</w:t>
            </w:r>
          </w:p>
        </w:tc>
        <w:tc>
          <w:tcPr>
            <w:tcW w:w="1196"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282±124</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5,50±1,47</w:t>
            </w:r>
          </w:p>
        </w:tc>
      </w:tr>
      <w:tr w:rsidR="00884538" w:rsidRPr="000D78CB" w:rsidTr="00684914">
        <w:trPr>
          <w:trHeight w:val="908"/>
        </w:trPr>
        <w:tc>
          <w:tcPr>
            <w:tcW w:w="1258" w:type="dxa"/>
            <w:vMerge/>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p>
        </w:tc>
        <w:tc>
          <w:tcPr>
            <w:tcW w:w="1116"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День 12-14</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3,53±2,3</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250±130</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1,27±1,12</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324±213</w:t>
            </w:r>
          </w:p>
        </w:tc>
        <w:tc>
          <w:tcPr>
            <w:tcW w:w="1196"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175±55,7</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4,35±1,66</w:t>
            </w:r>
          </w:p>
        </w:tc>
      </w:tr>
      <w:tr w:rsidR="00884538" w:rsidRPr="000D78CB" w:rsidTr="00684914">
        <w:trPr>
          <w:trHeight w:val="908"/>
        </w:trPr>
        <w:tc>
          <w:tcPr>
            <w:tcW w:w="2374" w:type="dxa"/>
            <w:gridSpan w:val="2"/>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р-значение</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р=0,42</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р=0,56</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b/>
                <w:color w:val="000000" w:themeColor="text1"/>
                <w:sz w:val="24"/>
              </w:rPr>
              <w:t>р=0,005</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р=0,46</w:t>
            </w:r>
          </w:p>
        </w:tc>
        <w:tc>
          <w:tcPr>
            <w:tcW w:w="1196" w:type="dxa"/>
            <w:shd w:val="clear" w:color="auto" w:fill="FFFFFF" w:themeFill="background1"/>
            <w:vAlign w:val="center"/>
          </w:tcPr>
          <w:p w:rsidR="00884538" w:rsidRPr="000D78CB" w:rsidRDefault="00884538" w:rsidP="00A34E01">
            <w:pPr>
              <w:spacing w:line="360" w:lineRule="auto"/>
              <w:jc w:val="center"/>
              <w:rPr>
                <w:rFonts w:ascii="Arial" w:hAnsi="Arial" w:cs="Arial"/>
                <w:b/>
                <w:color w:val="000000" w:themeColor="text1"/>
                <w:sz w:val="24"/>
              </w:rPr>
            </w:pPr>
            <w:r w:rsidRPr="000D78CB">
              <w:rPr>
                <w:rFonts w:ascii="Arial" w:hAnsi="Arial" w:cs="Arial"/>
                <w:b/>
                <w:color w:val="000000" w:themeColor="text1"/>
                <w:sz w:val="24"/>
              </w:rPr>
              <w:t>р=0,003</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b/>
                <w:color w:val="000000" w:themeColor="text1"/>
                <w:sz w:val="24"/>
              </w:rPr>
            </w:pPr>
            <w:r w:rsidRPr="000D78CB">
              <w:rPr>
                <w:rFonts w:ascii="Arial" w:hAnsi="Arial" w:cs="Arial"/>
                <w:b/>
                <w:color w:val="000000" w:themeColor="text1"/>
                <w:sz w:val="24"/>
              </w:rPr>
              <w:t>р=0,04</w:t>
            </w:r>
          </w:p>
        </w:tc>
      </w:tr>
      <w:tr w:rsidR="00884538" w:rsidRPr="000D78CB" w:rsidTr="00684914">
        <w:trPr>
          <w:trHeight w:val="860"/>
        </w:trPr>
        <w:tc>
          <w:tcPr>
            <w:tcW w:w="8322" w:type="dxa"/>
            <w:gridSpan w:val="7"/>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p>
        </w:tc>
      </w:tr>
      <w:tr w:rsidR="00884538" w:rsidRPr="000D78CB" w:rsidTr="00684914">
        <w:trPr>
          <w:trHeight w:val="913"/>
        </w:trPr>
        <w:tc>
          <w:tcPr>
            <w:tcW w:w="1258" w:type="dxa"/>
            <w:vMerge w:val="restart"/>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Группа сравнения</w:t>
            </w:r>
          </w:p>
        </w:tc>
        <w:tc>
          <w:tcPr>
            <w:tcW w:w="1116"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День 1</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5,17±2,3</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309±225</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14,5±16,7</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358±339</w:t>
            </w:r>
          </w:p>
        </w:tc>
        <w:tc>
          <w:tcPr>
            <w:tcW w:w="1196"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219±71</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4,86±1,50</w:t>
            </w:r>
          </w:p>
        </w:tc>
      </w:tr>
      <w:tr w:rsidR="00884538" w:rsidRPr="000D78CB" w:rsidTr="00684914">
        <w:trPr>
          <w:trHeight w:val="913"/>
        </w:trPr>
        <w:tc>
          <w:tcPr>
            <w:tcW w:w="1258" w:type="dxa"/>
            <w:vMerge/>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p>
        </w:tc>
        <w:tc>
          <w:tcPr>
            <w:tcW w:w="1116"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День 12-14</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4,30±1,23</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253±157</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2,16±2,08</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426±186</w:t>
            </w:r>
          </w:p>
        </w:tc>
        <w:tc>
          <w:tcPr>
            <w:tcW w:w="1196"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177±41</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3,90±1,53</w:t>
            </w:r>
          </w:p>
        </w:tc>
      </w:tr>
      <w:tr w:rsidR="00884538" w:rsidRPr="000D78CB" w:rsidTr="00684914">
        <w:trPr>
          <w:trHeight w:val="913"/>
        </w:trPr>
        <w:tc>
          <w:tcPr>
            <w:tcW w:w="2374" w:type="dxa"/>
            <w:gridSpan w:val="2"/>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р-значение</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р=0,32</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р=0,43</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b/>
                <w:color w:val="000000" w:themeColor="text1"/>
                <w:sz w:val="24"/>
              </w:rPr>
              <w:t>р=0,01</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color w:val="000000" w:themeColor="text1"/>
                <w:sz w:val="24"/>
              </w:rPr>
            </w:pPr>
            <w:r w:rsidRPr="000D78CB">
              <w:rPr>
                <w:rFonts w:ascii="Arial" w:hAnsi="Arial" w:cs="Arial"/>
                <w:color w:val="000000" w:themeColor="text1"/>
                <w:sz w:val="24"/>
              </w:rPr>
              <w:t>р=0,25</w:t>
            </w:r>
          </w:p>
        </w:tc>
        <w:tc>
          <w:tcPr>
            <w:tcW w:w="1196" w:type="dxa"/>
            <w:shd w:val="clear" w:color="auto" w:fill="FFFFFF" w:themeFill="background1"/>
            <w:vAlign w:val="center"/>
          </w:tcPr>
          <w:p w:rsidR="00884538" w:rsidRPr="000D78CB" w:rsidRDefault="00884538" w:rsidP="00A34E01">
            <w:pPr>
              <w:spacing w:line="360" w:lineRule="auto"/>
              <w:jc w:val="center"/>
              <w:rPr>
                <w:rFonts w:ascii="Arial" w:hAnsi="Arial" w:cs="Arial"/>
                <w:b/>
                <w:color w:val="000000" w:themeColor="text1"/>
                <w:sz w:val="24"/>
              </w:rPr>
            </w:pPr>
            <w:r w:rsidRPr="000D78CB">
              <w:rPr>
                <w:rFonts w:ascii="Arial" w:hAnsi="Arial" w:cs="Arial"/>
                <w:b/>
                <w:color w:val="000000" w:themeColor="text1"/>
                <w:sz w:val="24"/>
              </w:rPr>
              <w:t>р=0,03</w:t>
            </w:r>
          </w:p>
        </w:tc>
        <w:tc>
          <w:tcPr>
            <w:tcW w:w="1188" w:type="dxa"/>
            <w:shd w:val="clear" w:color="auto" w:fill="FFFFFF" w:themeFill="background1"/>
            <w:vAlign w:val="center"/>
          </w:tcPr>
          <w:p w:rsidR="00884538" w:rsidRPr="000D78CB" w:rsidRDefault="00884538" w:rsidP="00A34E01">
            <w:pPr>
              <w:spacing w:line="360" w:lineRule="auto"/>
              <w:jc w:val="center"/>
              <w:rPr>
                <w:rFonts w:ascii="Arial" w:hAnsi="Arial" w:cs="Arial"/>
                <w:b/>
                <w:color w:val="000000" w:themeColor="text1"/>
                <w:sz w:val="24"/>
              </w:rPr>
            </w:pPr>
            <w:r w:rsidRPr="000D78CB">
              <w:rPr>
                <w:rFonts w:ascii="Arial" w:hAnsi="Arial" w:cs="Arial"/>
                <w:color w:val="000000" w:themeColor="text1"/>
                <w:sz w:val="24"/>
              </w:rPr>
              <w:t>р=0,09</w:t>
            </w:r>
          </w:p>
        </w:tc>
      </w:tr>
    </w:tbl>
    <w:p w:rsidR="00884538" w:rsidRPr="00A34E01" w:rsidRDefault="00884538" w:rsidP="00A34E01">
      <w:pPr>
        <w:spacing w:after="0" w:line="360" w:lineRule="auto"/>
        <w:ind w:firstLine="567"/>
        <w:jc w:val="both"/>
        <w:rPr>
          <w:rFonts w:ascii="Arial" w:hAnsi="Arial" w:cs="Arial"/>
          <w:sz w:val="24"/>
          <w:szCs w:val="24"/>
        </w:rPr>
      </w:pPr>
      <w:r w:rsidRPr="00A34E01">
        <w:rPr>
          <w:rFonts w:ascii="Arial" w:hAnsi="Arial" w:cs="Arial"/>
          <w:sz w:val="24"/>
          <w:szCs w:val="24"/>
        </w:rPr>
        <w:t xml:space="preserve">Итак, ретроспективная оценка данных показала, что при лёгком-среднетяжёлом течении острой новой </w:t>
      </w:r>
      <w:proofErr w:type="spellStart"/>
      <w:r w:rsidRPr="00A34E01">
        <w:rPr>
          <w:rFonts w:ascii="Arial" w:hAnsi="Arial" w:cs="Arial"/>
          <w:sz w:val="24"/>
          <w:szCs w:val="24"/>
        </w:rPr>
        <w:t>коронавирусной</w:t>
      </w:r>
      <w:proofErr w:type="spellEnd"/>
      <w:r w:rsidRPr="00A34E01">
        <w:rPr>
          <w:rFonts w:ascii="Arial" w:hAnsi="Arial" w:cs="Arial"/>
          <w:sz w:val="24"/>
          <w:szCs w:val="24"/>
        </w:rPr>
        <w:t xml:space="preserve"> инфекции присоединение к комплексной терапии </w:t>
      </w:r>
      <w:r w:rsidR="00D250C1">
        <w:rPr>
          <w:rFonts w:ascii="Arial" w:hAnsi="Arial" w:cs="Arial"/>
          <w:sz w:val="24"/>
          <w:szCs w:val="24"/>
        </w:rPr>
        <w:t xml:space="preserve">индуктора синтеза интерферонов </w:t>
      </w:r>
      <w:proofErr w:type="spellStart"/>
      <w:r w:rsidR="00D250C1">
        <w:rPr>
          <w:rFonts w:ascii="Arial" w:hAnsi="Arial" w:cs="Arial"/>
          <w:sz w:val="24"/>
          <w:szCs w:val="24"/>
        </w:rPr>
        <w:t>Т</w:t>
      </w:r>
      <w:r w:rsidRPr="00A34E01">
        <w:rPr>
          <w:rFonts w:ascii="Arial" w:hAnsi="Arial" w:cs="Arial"/>
          <w:sz w:val="24"/>
          <w:szCs w:val="24"/>
        </w:rPr>
        <w:t>илорона</w:t>
      </w:r>
      <w:proofErr w:type="spellEnd"/>
      <w:r w:rsidR="00D250C1">
        <w:rPr>
          <w:rFonts w:ascii="Arial" w:hAnsi="Arial" w:cs="Arial"/>
          <w:sz w:val="24"/>
          <w:szCs w:val="24"/>
        </w:rPr>
        <w:t>-СЗ</w:t>
      </w:r>
      <w:r w:rsidRPr="00A34E01">
        <w:rPr>
          <w:rFonts w:ascii="Arial" w:hAnsi="Arial" w:cs="Arial"/>
          <w:sz w:val="24"/>
          <w:szCs w:val="24"/>
        </w:rPr>
        <w:t xml:space="preserve"> сопровождается увеличением исходно относительно </w:t>
      </w:r>
      <w:proofErr w:type="spellStart"/>
      <w:r w:rsidRPr="00A34E01">
        <w:rPr>
          <w:rFonts w:ascii="Arial" w:hAnsi="Arial" w:cs="Arial"/>
          <w:sz w:val="24"/>
          <w:szCs w:val="24"/>
        </w:rPr>
        <w:t>супрессированной</w:t>
      </w:r>
      <w:proofErr w:type="spellEnd"/>
      <w:r w:rsidRPr="00A34E01">
        <w:rPr>
          <w:rFonts w:ascii="Arial" w:hAnsi="Arial" w:cs="Arial"/>
          <w:sz w:val="24"/>
          <w:szCs w:val="24"/>
        </w:rPr>
        <w:t xml:space="preserve"> продукции лейкоцитов (включая лимфоциты), тромбоцитов, сопоставимым уменьшением сывороточного уровня таких медиаторов системного воспалительного ответа как </w:t>
      </w:r>
      <w:r w:rsidRPr="00A34E01">
        <w:rPr>
          <w:rFonts w:ascii="Arial" w:hAnsi="Arial" w:cs="Arial"/>
          <w:sz w:val="24"/>
          <w:szCs w:val="24"/>
        </w:rPr>
        <w:lastRenderedPageBreak/>
        <w:t xml:space="preserve">фибриноген, С-реактивный белок, и более активным влиянием на уровень ЛДГ сыворотки. Сходная направленность и выраженность в редукции уровня высокочувствительного </w:t>
      </w:r>
      <w:proofErr w:type="spellStart"/>
      <w:r w:rsidRPr="00A34E01">
        <w:rPr>
          <w:rFonts w:ascii="Arial" w:hAnsi="Arial" w:cs="Arial"/>
          <w:sz w:val="24"/>
          <w:szCs w:val="24"/>
        </w:rPr>
        <w:t>тропонина</w:t>
      </w:r>
      <w:proofErr w:type="spellEnd"/>
      <w:r w:rsidRPr="00A34E01">
        <w:rPr>
          <w:rFonts w:ascii="Arial" w:hAnsi="Arial" w:cs="Arial"/>
          <w:sz w:val="24"/>
          <w:szCs w:val="24"/>
        </w:rPr>
        <w:t xml:space="preserve"> в каждой группе (в пределах </w:t>
      </w:r>
      <w:proofErr w:type="spellStart"/>
      <w:r w:rsidRPr="00A34E01">
        <w:rPr>
          <w:rFonts w:ascii="Arial" w:hAnsi="Arial" w:cs="Arial"/>
          <w:sz w:val="24"/>
          <w:szCs w:val="24"/>
        </w:rPr>
        <w:t>референсного</w:t>
      </w:r>
      <w:proofErr w:type="spellEnd"/>
      <w:r w:rsidRPr="00A34E01">
        <w:rPr>
          <w:rFonts w:ascii="Arial" w:hAnsi="Arial" w:cs="Arial"/>
          <w:sz w:val="24"/>
          <w:szCs w:val="24"/>
        </w:rPr>
        <w:t xml:space="preserve"> диапазона значений), по-видимому, отражает регресс вирусного поражения лёгочной ткани.</w:t>
      </w:r>
    </w:p>
    <w:p w:rsidR="00884538" w:rsidRPr="00A34E01" w:rsidRDefault="00884538" w:rsidP="00A34E01">
      <w:pPr>
        <w:spacing w:after="0" w:line="360" w:lineRule="auto"/>
        <w:ind w:firstLine="567"/>
        <w:jc w:val="both"/>
        <w:rPr>
          <w:rFonts w:ascii="Arial" w:hAnsi="Arial" w:cs="Arial"/>
          <w:color w:val="000000"/>
          <w:sz w:val="24"/>
          <w:szCs w:val="24"/>
        </w:rPr>
      </w:pPr>
      <w:r w:rsidRPr="00A34E01">
        <w:rPr>
          <w:rFonts w:ascii="Arial" w:hAnsi="Arial" w:cs="Arial"/>
          <w:sz w:val="24"/>
          <w:szCs w:val="24"/>
        </w:rPr>
        <w:t>Меха</w:t>
      </w:r>
      <w:r w:rsidR="00331B17">
        <w:rPr>
          <w:rFonts w:ascii="Arial" w:hAnsi="Arial" w:cs="Arial"/>
          <w:sz w:val="24"/>
          <w:szCs w:val="24"/>
        </w:rPr>
        <w:t xml:space="preserve">низм противовирусного действия </w:t>
      </w:r>
      <w:proofErr w:type="spellStart"/>
      <w:r w:rsidR="00331B17">
        <w:rPr>
          <w:rFonts w:ascii="Arial" w:hAnsi="Arial" w:cs="Arial"/>
          <w:sz w:val="24"/>
          <w:szCs w:val="24"/>
        </w:rPr>
        <w:t>Т</w:t>
      </w:r>
      <w:r w:rsidRPr="00A34E01">
        <w:rPr>
          <w:rFonts w:ascii="Arial" w:hAnsi="Arial" w:cs="Arial"/>
          <w:sz w:val="24"/>
          <w:szCs w:val="24"/>
        </w:rPr>
        <w:t>илорона</w:t>
      </w:r>
      <w:proofErr w:type="spellEnd"/>
      <w:r w:rsidR="00331B17">
        <w:rPr>
          <w:rFonts w:ascii="Arial" w:hAnsi="Arial" w:cs="Arial"/>
          <w:sz w:val="24"/>
          <w:szCs w:val="24"/>
        </w:rPr>
        <w:t>-СЗ</w:t>
      </w:r>
      <w:r w:rsidRPr="00A34E01">
        <w:rPr>
          <w:rFonts w:ascii="Arial" w:hAnsi="Arial" w:cs="Arial"/>
          <w:sz w:val="24"/>
          <w:szCs w:val="24"/>
        </w:rPr>
        <w:t xml:space="preserve"> состоит в подавлении трансляции вирус-специфических белков в инфицированных клетках с последующим снижением репродукц</w:t>
      </w:r>
      <w:r w:rsidR="00331B17">
        <w:rPr>
          <w:rFonts w:ascii="Arial" w:hAnsi="Arial" w:cs="Arial"/>
          <w:sz w:val="24"/>
          <w:szCs w:val="24"/>
        </w:rPr>
        <w:t xml:space="preserve">ии вирусов. Способность </w:t>
      </w:r>
      <w:proofErr w:type="spellStart"/>
      <w:r w:rsidR="00331B17">
        <w:rPr>
          <w:rFonts w:ascii="Arial" w:hAnsi="Arial" w:cs="Arial"/>
          <w:sz w:val="24"/>
          <w:szCs w:val="24"/>
        </w:rPr>
        <w:t>Т</w:t>
      </w:r>
      <w:r w:rsidRPr="00A34E01">
        <w:rPr>
          <w:rFonts w:ascii="Arial" w:hAnsi="Arial" w:cs="Arial"/>
          <w:sz w:val="24"/>
          <w:szCs w:val="24"/>
        </w:rPr>
        <w:t>илорона</w:t>
      </w:r>
      <w:proofErr w:type="spellEnd"/>
      <w:r w:rsidR="00331B17">
        <w:rPr>
          <w:rFonts w:ascii="Arial" w:hAnsi="Arial" w:cs="Arial"/>
          <w:sz w:val="24"/>
          <w:szCs w:val="24"/>
        </w:rPr>
        <w:t>-СЗ</w:t>
      </w:r>
      <w:r w:rsidRPr="00A34E01">
        <w:rPr>
          <w:rFonts w:ascii="Arial" w:hAnsi="Arial" w:cs="Arial"/>
          <w:sz w:val="24"/>
          <w:szCs w:val="24"/>
        </w:rPr>
        <w:t xml:space="preserve"> стимулировать продукцию эндогенных интерферонов целесообразно рассматривать в качестве основного механизма его антивирусной активности, поскольку клинические эффекты этого лекарственного агента коррелируют с титрами интерферонов в сыворотке крови [</w:t>
      </w:r>
      <w:r w:rsidR="00D26AC6" w:rsidRPr="00A34E01">
        <w:rPr>
          <w:rFonts w:ascii="Arial" w:hAnsi="Arial" w:cs="Arial"/>
          <w:sz w:val="24"/>
          <w:szCs w:val="24"/>
        </w:rPr>
        <w:t>Филиппова Т.О. и др., 2006; Киселева Н.М. и др., 2007</w:t>
      </w:r>
      <w:r w:rsidRPr="00A34E01">
        <w:rPr>
          <w:rFonts w:ascii="Arial" w:hAnsi="Arial" w:cs="Arial"/>
          <w:sz w:val="24"/>
          <w:szCs w:val="24"/>
        </w:rPr>
        <w:t xml:space="preserve">]. Препарат оказывает стимулирующее влияние на неспецифические механизмы иммунной защиты, выражающееся в активации макрофагов, повышении синтеза фактора </w:t>
      </w:r>
      <w:proofErr w:type="spellStart"/>
      <w:r w:rsidRPr="00A34E01">
        <w:rPr>
          <w:rFonts w:ascii="Arial" w:hAnsi="Arial" w:cs="Arial"/>
          <w:sz w:val="24"/>
          <w:szCs w:val="24"/>
        </w:rPr>
        <w:t>супрессии</w:t>
      </w:r>
      <w:proofErr w:type="spellEnd"/>
      <w:r w:rsidRPr="00A34E01">
        <w:rPr>
          <w:rFonts w:ascii="Arial" w:hAnsi="Arial" w:cs="Arial"/>
          <w:sz w:val="24"/>
          <w:szCs w:val="24"/>
        </w:rPr>
        <w:t xml:space="preserve"> их миграции. Следствием этого оказывается увеличение поглотительной способности макрофагов, а также </w:t>
      </w:r>
      <w:proofErr w:type="spellStart"/>
      <w:r w:rsidRPr="00A34E01">
        <w:rPr>
          <w:rFonts w:ascii="Arial" w:hAnsi="Arial" w:cs="Arial"/>
          <w:sz w:val="24"/>
          <w:szCs w:val="24"/>
        </w:rPr>
        <w:t>гиперпродукция</w:t>
      </w:r>
      <w:proofErr w:type="spellEnd"/>
      <w:r w:rsidRPr="00A34E01">
        <w:rPr>
          <w:rFonts w:ascii="Arial" w:hAnsi="Arial" w:cs="Arial"/>
          <w:sz w:val="24"/>
          <w:szCs w:val="24"/>
        </w:rPr>
        <w:t xml:space="preserve"> активных форм кислорода, обладающих бактерицидным действием. </w:t>
      </w:r>
      <w:proofErr w:type="spellStart"/>
      <w:r w:rsidRPr="00A34E01">
        <w:rPr>
          <w:rFonts w:ascii="Arial" w:hAnsi="Arial" w:cs="Arial"/>
          <w:sz w:val="24"/>
          <w:szCs w:val="24"/>
        </w:rPr>
        <w:t>Тилорон</w:t>
      </w:r>
      <w:proofErr w:type="spellEnd"/>
      <w:r w:rsidR="00331B17">
        <w:rPr>
          <w:rFonts w:ascii="Arial" w:hAnsi="Arial" w:cs="Arial"/>
          <w:sz w:val="24"/>
          <w:szCs w:val="24"/>
        </w:rPr>
        <w:t>-СЗ</w:t>
      </w:r>
      <w:r w:rsidRPr="00A34E01">
        <w:rPr>
          <w:rFonts w:ascii="Arial" w:hAnsi="Arial" w:cs="Arial"/>
          <w:sz w:val="24"/>
          <w:szCs w:val="24"/>
        </w:rPr>
        <w:t xml:space="preserve"> активирует стволовые клетки красного костного мозга, индуцирует синтез интерферонов в лейкоцитах, </w:t>
      </w:r>
      <w:proofErr w:type="spellStart"/>
      <w:r w:rsidRPr="00A34E01">
        <w:rPr>
          <w:rFonts w:ascii="Arial" w:hAnsi="Arial" w:cs="Arial"/>
          <w:sz w:val="24"/>
          <w:szCs w:val="24"/>
        </w:rPr>
        <w:t>дозозависимо</w:t>
      </w:r>
      <w:proofErr w:type="spellEnd"/>
      <w:r w:rsidRPr="00A34E01">
        <w:rPr>
          <w:rFonts w:ascii="Arial" w:hAnsi="Arial" w:cs="Arial"/>
          <w:sz w:val="24"/>
          <w:szCs w:val="24"/>
        </w:rPr>
        <w:t xml:space="preserve"> усиливает образование антител, восстанавливает физиологическое соотношен</w:t>
      </w:r>
      <w:r w:rsidR="0057497F" w:rsidRPr="00A34E01">
        <w:rPr>
          <w:rFonts w:ascii="Arial" w:hAnsi="Arial" w:cs="Arial"/>
          <w:sz w:val="24"/>
          <w:szCs w:val="24"/>
        </w:rPr>
        <w:t>ие T-</w:t>
      </w:r>
      <w:proofErr w:type="spellStart"/>
      <w:r w:rsidR="0057497F" w:rsidRPr="00A34E01">
        <w:rPr>
          <w:rFonts w:ascii="Arial" w:hAnsi="Arial" w:cs="Arial"/>
          <w:sz w:val="24"/>
          <w:szCs w:val="24"/>
        </w:rPr>
        <w:t>супрессоров</w:t>
      </w:r>
      <w:proofErr w:type="spellEnd"/>
      <w:r w:rsidR="0057497F" w:rsidRPr="00A34E01">
        <w:rPr>
          <w:rFonts w:ascii="Arial" w:hAnsi="Arial" w:cs="Arial"/>
          <w:sz w:val="24"/>
          <w:szCs w:val="24"/>
        </w:rPr>
        <w:t xml:space="preserve"> и T-хелперов. </w:t>
      </w:r>
      <w:r w:rsidRPr="00A34E01">
        <w:rPr>
          <w:rFonts w:ascii="Arial" w:hAnsi="Arial" w:cs="Arial"/>
          <w:color w:val="000000"/>
          <w:sz w:val="24"/>
          <w:szCs w:val="24"/>
        </w:rPr>
        <w:t xml:space="preserve">Данные литературы указывают на широкий спектр антивирусной эффективности </w:t>
      </w:r>
      <w:proofErr w:type="spellStart"/>
      <w:r w:rsidRPr="00A34E01">
        <w:rPr>
          <w:rFonts w:ascii="Arial" w:hAnsi="Arial" w:cs="Arial"/>
          <w:color w:val="000000"/>
          <w:sz w:val="24"/>
          <w:szCs w:val="24"/>
        </w:rPr>
        <w:t>тилорона</w:t>
      </w:r>
      <w:proofErr w:type="spellEnd"/>
      <w:r w:rsidRPr="00A34E01">
        <w:rPr>
          <w:rFonts w:ascii="Arial" w:hAnsi="Arial" w:cs="Arial"/>
          <w:color w:val="000000"/>
          <w:sz w:val="24"/>
          <w:szCs w:val="24"/>
        </w:rPr>
        <w:t xml:space="preserve">, апробированной в экспериментальных исследованиях как </w:t>
      </w:r>
      <w:r w:rsidRPr="00A34E01">
        <w:rPr>
          <w:rFonts w:ascii="Arial" w:hAnsi="Arial" w:cs="Arial"/>
          <w:color w:val="000000"/>
          <w:sz w:val="24"/>
          <w:szCs w:val="24"/>
          <w:lang w:val="en-US"/>
        </w:rPr>
        <w:t>in</w:t>
      </w:r>
      <w:r w:rsidRPr="00A34E01">
        <w:rPr>
          <w:rFonts w:ascii="Arial" w:hAnsi="Arial" w:cs="Arial"/>
          <w:color w:val="000000"/>
          <w:sz w:val="24"/>
          <w:szCs w:val="24"/>
        </w:rPr>
        <w:t xml:space="preserve"> </w:t>
      </w:r>
      <w:r w:rsidRPr="00A34E01">
        <w:rPr>
          <w:rFonts w:ascii="Arial" w:hAnsi="Arial" w:cs="Arial"/>
          <w:color w:val="000000"/>
          <w:sz w:val="24"/>
          <w:szCs w:val="24"/>
          <w:lang w:val="en-US"/>
        </w:rPr>
        <w:t>vivo</w:t>
      </w:r>
      <w:r w:rsidRPr="00A34E01">
        <w:rPr>
          <w:rFonts w:ascii="Arial" w:hAnsi="Arial" w:cs="Arial"/>
          <w:color w:val="000000"/>
          <w:sz w:val="24"/>
          <w:szCs w:val="24"/>
        </w:rPr>
        <w:t xml:space="preserve">, так </w:t>
      </w:r>
      <w:r w:rsidRPr="00A34E01">
        <w:rPr>
          <w:rFonts w:ascii="Arial" w:hAnsi="Arial" w:cs="Arial"/>
          <w:color w:val="000000" w:themeColor="text1"/>
          <w:sz w:val="24"/>
          <w:szCs w:val="24"/>
        </w:rPr>
        <w:t xml:space="preserve">и </w:t>
      </w:r>
      <w:r w:rsidRPr="00A34E01">
        <w:rPr>
          <w:rFonts w:ascii="Arial" w:hAnsi="Arial" w:cs="Arial"/>
          <w:color w:val="000000" w:themeColor="text1"/>
          <w:sz w:val="24"/>
          <w:szCs w:val="24"/>
          <w:lang w:val="en-US"/>
        </w:rPr>
        <w:t>in</w:t>
      </w:r>
      <w:r w:rsidRPr="00A34E01">
        <w:rPr>
          <w:rFonts w:ascii="Arial" w:hAnsi="Arial" w:cs="Arial"/>
          <w:color w:val="000000" w:themeColor="text1"/>
          <w:sz w:val="24"/>
          <w:szCs w:val="24"/>
        </w:rPr>
        <w:t xml:space="preserve"> </w:t>
      </w:r>
      <w:r w:rsidRPr="00A34E01">
        <w:rPr>
          <w:rFonts w:ascii="Arial" w:hAnsi="Arial" w:cs="Arial"/>
          <w:color w:val="000000" w:themeColor="text1"/>
          <w:sz w:val="24"/>
          <w:szCs w:val="24"/>
          <w:lang w:val="en-US"/>
        </w:rPr>
        <w:t>vitro</w:t>
      </w:r>
      <w:r w:rsidRPr="00A34E01">
        <w:rPr>
          <w:rFonts w:ascii="Arial" w:hAnsi="Arial" w:cs="Arial"/>
          <w:color w:val="000000" w:themeColor="text1"/>
          <w:sz w:val="24"/>
          <w:szCs w:val="24"/>
        </w:rPr>
        <w:t xml:space="preserve">. Таким образом была доказана активность препарата в отношении вирусов гриппа </w:t>
      </w:r>
      <w:r w:rsidRPr="00A34E01">
        <w:rPr>
          <w:rFonts w:ascii="Arial" w:hAnsi="Arial" w:cs="Arial"/>
          <w:color w:val="000000"/>
          <w:sz w:val="24"/>
          <w:szCs w:val="24"/>
        </w:rPr>
        <w:t xml:space="preserve">А, гриппа В, герпеса простого 1 типа, лихорадки Западного Нила, </w:t>
      </w:r>
      <w:proofErr w:type="spellStart"/>
      <w:r w:rsidRPr="00A34E01">
        <w:rPr>
          <w:rFonts w:ascii="Arial" w:hAnsi="Arial" w:cs="Arial"/>
          <w:color w:val="000000"/>
          <w:sz w:val="24"/>
          <w:szCs w:val="24"/>
        </w:rPr>
        <w:t>Менго</w:t>
      </w:r>
      <w:proofErr w:type="spellEnd"/>
      <w:r w:rsidRPr="00A34E01">
        <w:rPr>
          <w:rFonts w:ascii="Arial" w:hAnsi="Arial" w:cs="Arial"/>
          <w:color w:val="000000"/>
          <w:sz w:val="24"/>
          <w:szCs w:val="24"/>
        </w:rPr>
        <w:t xml:space="preserve">, леса </w:t>
      </w:r>
      <w:proofErr w:type="spellStart"/>
      <w:r w:rsidRPr="00A34E01">
        <w:rPr>
          <w:rFonts w:ascii="Arial" w:hAnsi="Arial" w:cs="Arial"/>
          <w:color w:val="000000"/>
          <w:sz w:val="24"/>
          <w:szCs w:val="24"/>
        </w:rPr>
        <w:t>Семлики</w:t>
      </w:r>
      <w:proofErr w:type="spellEnd"/>
      <w:r w:rsidRPr="00A34E01">
        <w:rPr>
          <w:rFonts w:ascii="Arial" w:hAnsi="Arial" w:cs="Arial"/>
          <w:color w:val="000000"/>
          <w:sz w:val="24"/>
          <w:szCs w:val="24"/>
        </w:rPr>
        <w:t xml:space="preserve">, везикулярного стоматита, Венесуэльского конского энцефалита, </w:t>
      </w:r>
      <w:proofErr w:type="spellStart"/>
      <w:r w:rsidRPr="00A34E01">
        <w:rPr>
          <w:rFonts w:ascii="Arial" w:hAnsi="Arial" w:cs="Arial"/>
          <w:color w:val="000000"/>
          <w:sz w:val="24"/>
          <w:szCs w:val="24"/>
        </w:rPr>
        <w:t>энцефаломиокардита</w:t>
      </w:r>
      <w:proofErr w:type="spellEnd"/>
      <w:r w:rsidRPr="00A34E01">
        <w:rPr>
          <w:rFonts w:ascii="Arial" w:hAnsi="Arial" w:cs="Arial"/>
          <w:color w:val="000000"/>
          <w:sz w:val="24"/>
          <w:szCs w:val="24"/>
        </w:rPr>
        <w:t xml:space="preserve">, </w:t>
      </w:r>
      <w:proofErr w:type="spellStart"/>
      <w:r w:rsidRPr="00A34E01">
        <w:rPr>
          <w:rFonts w:ascii="Arial" w:hAnsi="Arial" w:cs="Arial"/>
          <w:color w:val="000000"/>
          <w:sz w:val="24"/>
          <w:szCs w:val="24"/>
        </w:rPr>
        <w:t>эбола</w:t>
      </w:r>
      <w:proofErr w:type="spellEnd"/>
      <w:r w:rsidRPr="00A34E01">
        <w:rPr>
          <w:rFonts w:ascii="Arial" w:hAnsi="Arial" w:cs="Arial"/>
          <w:color w:val="000000"/>
          <w:sz w:val="24"/>
          <w:szCs w:val="24"/>
        </w:rPr>
        <w:t>, Ближневосточного респираторного синдрома [</w:t>
      </w:r>
      <w:r w:rsidR="00EB41AB" w:rsidRPr="00A34E01">
        <w:rPr>
          <w:rFonts w:ascii="Arial" w:eastAsia="Times New Roman" w:hAnsi="Arial" w:cs="Arial"/>
          <w:color w:val="000000"/>
          <w:sz w:val="24"/>
          <w:szCs w:val="24"/>
          <w:lang w:eastAsia="ru-RU"/>
        </w:rPr>
        <w:t xml:space="preserve">Логинова С.Я. и др., 2004; </w:t>
      </w:r>
      <w:r w:rsidR="0057497F" w:rsidRPr="00A34E01">
        <w:rPr>
          <w:rFonts w:ascii="Arial" w:eastAsia="Times New Roman" w:hAnsi="Arial" w:cs="Arial"/>
          <w:color w:val="000000"/>
          <w:sz w:val="24"/>
          <w:szCs w:val="24"/>
          <w:lang w:val="en-US" w:eastAsia="ru-RU"/>
        </w:rPr>
        <w:t>Krueger</w:t>
      </w:r>
      <w:r w:rsidR="0057497F" w:rsidRPr="00A34E01">
        <w:rPr>
          <w:rFonts w:ascii="Arial" w:eastAsia="Times New Roman" w:hAnsi="Arial" w:cs="Arial"/>
          <w:color w:val="000000"/>
          <w:sz w:val="24"/>
          <w:szCs w:val="24"/>
          <w:lang w:eastAsia="ru-RU"/>
        </w:rPr>
        <w:t xml:space="preserve"> </w:t>
      </w:r>
      <w:r w:rsidR="0057497F" w:rsidRPr="00A34E01">
        <w:rPr>
          <w:rFonts w:ascii="Arial" w:eastAsia="Times New Roman" w:hAnsi="Arial" w:cs="Arial"/>
          <w:color w:val="000000"/>
          <w:sz w:val="24"/>
          <w:szCs w:val="24"/>
          <w:lang w:val="en-US" w:eastAsia="ru-RU"/>
        </w:rPr>
        <w:t>R</w:t>
      </w:r>
      <w:r w:rsidR="0057497F" w:rsidRPr="00A34E01">
        <w:rPr>
          <w:rFonts w:ascii="Arial" w:eastAsia="Times New Roman" w:hAnsi="Arial" w:cs="Arial"/>
          <w:color w:val="000000"/>
          <w:sz w:val="24"/>
          <w:szCs w:val="24"/>
          <w:lang w:eastAsia="ru-RU"/>
        </w:rPr>
        <w:t>.</w:t>
      </w:r>
      <w:r w:rsidR="0057497F" w:rsidRPr="00A34E01">
        <w:rPr>
          <w:rFonts w:ascii="Arial" w:eastAsia="Times New Roman" w:hAnsi="Arial" w:cs="Arial"/>
          <w:color w:val="000000"/>
          <w:sz w:val="24"/>
          <w:szCs w:val="24"/>
          <w:lang w:val="en-US" w:eastAsia="ru-RU"/>
        </w:rPr>
        <w:t>E</w:t>
      </w:r>
      <w:r w:rsidR="0057497F" w:rsidRPr="00A34E01">
        <w:rPr>
          <w:rFonts w:ascii="Arial" w:eastAsia="Times New Roman" w:hAnsi="Arial" w:cs="Arial"/>
          <w:color w:val="000000"/>
          <w:sz w:val="24"/>
          <w:szCs w:val="24"/>
          <w:lang w:eastAsia="ru-RU"/>
        </w:rPr>
        <w:t xml:space="preserve">. </w:t>
      </w:r>
      <w:r w:rsidR="0057497F" w:rsidRPr="00A34E01">
        <w:rPr>
          <w:rFonts w:ascii="Arial" w:eastAsia="Times New Roman" w:hAnsi="Arial" w:cs="Arial"/>
          <w:color w:val="000000"/>
          <w:sz w:val="24"/>
          <w:szCs w:val="24"/>
          <w:lang w:val="en-US" w:eastAsia="ru-RU"/>
        </w:rPr>
        <w:t>et</w:t>
      </w:r>
      <w:r w:rsidR="0057497F" w:rsidRPr="00A34E01">
        <w:rPr>
          <w:rFonts w:ascii="Arial" w:eastAsia="Times New Roman" w:hAnsi="Arial" w:cs="Arial"/>
          <w:color w:val="000000"/>
          <w:sz w:val="24"/>
          <w:szCs w:val="24"/>
          <w:lang w:eastAsia="ru-RU"/>
        </w:rPr>
        <w:t xml:space="preserve"> </w:t>
      </w:r>
      <w:r w:rsidR="0057497F" w:rsidRPr="00A34E01">
        <w:rPr>
          <w:rFonts w:ascii="Arial" w:eastAsia="Times New Roman" w:hAnsi="Arial" w:cs="Arial"/>
          <w:color w:val="000000"/>
          <w:sz w:val="24"/>
          <w:szCs w:val="24"/>
          <w:lang w:val="en-US" w:eastAsia="ru-RU"/>
        </w:rPr>
        <w:t>al</w:t>
      </w:r>
      <w:r w:rsidR="0057497F" w:rsidRPr="00A34E01">
        <w:rPr>
          <w:rFonts w:ascii="Arial" w:eastAsia="Times New Roman" w:hAnsi="Arial" w:cs="Arial"/>
          <w:color w:val="000000"/>
          <w:sz w:val="24"/>
          <w:szCs w:val="24"/>
          <w:lang w:eastAsia="ru-RU"/>
        </w:rPr>
        <w:t xml:space="preserve">., 1970; </w:t>
      </w:r>
      <w:r w:rsidR="0057497F" w:rsidRPr="00A34E01">
        <w:rPr>
          <w:rFonts w:ascii="Arial" w:eastAsia="Times New Roman" w:hAnsi="Arial" w:cs="Arial"/>
          <w:color w:val="000000"/>
          <w:sz w:val="24"/>
          <w:szCs w:val="24"/>
          <w:lang w:val="en-US" w:eastAsia="ru-RU"/>
        </w:rPr>
        <w:t>Katz</w:t>
      </w:r>
      <w:r w:rsidR="0057497F" w:rsidRPr="00A34E01">
        <w:rPr>
          <w:rFonts w:ascii="Arial" w:eastAsia="Times New Roman" w:hAnsi="Arial" w:cs="Arial"/>
          <w:color w:val="000000"/>
          <w:sz w:val="24"/>
          <w:szCs w:val="24"/>
          <w:lang w:eastAsia="ru-RU"/>
        </w:rPr>
        <w:t xml:space="preserve"> </w:t>
      </w:r>
      <w:r w:rsidR="0057497F" w:rsidRPr="00A34E01">
        <w:rPr>
          <w:rFonts w:ascii="Arial" w:eastAsia="Times New Roman" w:hAnsi="Arial" w:cs="Arial"/>
          <w:color w:val="000000"/>
          <w:sz w:val="24"/>
          <w:szCs w:val="24"/>
          <w:lang w:val="en-US" w:eastAsia="ru-RU"/>
        </w:rPr>
        <w:t>E</w:t>
      </w:r>
      <w:r w:rsidR="0057497F" w:rsidRPr="00A34E01">
        <w:rPr>
          <w:rFonts w:ascii="Arial" w:eastAsia="Times New Roman" w:hAnsi="Arial" w:cs="Arial"/>
          <w:color w:val="000000"/>
          <w:sz w:val="24"/>
          <w:szCs w:val="24"/>
          <w:lang w:eastAsia="ru-RU"/>
        </w:rPr>
        <w:t>.e</w:t>
      </w:r>
      <w:r w:rsidR="0057497F" w:rsidRPr="00A34E01">
        <w:rPr>
          <w:rFonts w:ascii="Arial" w:eastAsia="Times New Roman" w:hAnsi="Arial" w:cs="Arial"/>
          <w:color w:val="000000"/>
          <w:sz w:val="24"/>
          <w:szCs w:val="24"/>
          <w:lang w:val="en-US" w:eastAsia="ru-RU"/>
        </w:rPr>
        <w:t>t</w:t>
      </w:r>
      <w:r w:rsidR="0057497F" w:rsidRPr="00A34E01">
        <w:rPr>
          <w:rFonts w:ascii="Arial" w:eastAsia="Times New Roman" w:hAnsi="Arial" w:cs="Arial"/>
          <w:color w:val="000000"/>
          <w:sz w:val="24"/>
          <w:szCs w:val="24"/>
          <w:lang w:eastAsia="ru-RU"/>
        </w:rPr>
        <w:t xml:space="preserve"> </w:t>
      </w:r>
      <w:r w:rsidR="0057497F" w:rsidRPr="00A34E01">
        <w:rPr>
          <w:rFonts w:ascii="Arial" w:eastAsia="Times New Roman" w:hAnsi="Arial" w:cs="Arial"/>
          <w:color w:val="000000"/>
          <w:sz w:val="24"/>
          <w:szCs w:val="24"/>
          <w:lang w:val="en-US" w:eastAsia="ru-RU"/>
        </w:rPr>
        <w:t>al</w:t>
      </w:r>
      <w:r w:rsidR="0057497F" w:rsidRPr="00A34E01">
        <w:rPr>
          <w:rFonts w:ascii="Arial" w:eastAsia="Times New Roman" w:hAnsi="Arial" w:cs="Arial"/>
          <w:color w:val="000000"/>
          <w:sz w:val="24"/>
          <w:szCs w:val="24"/>
          <w:lang w:eastAsia="ru-RU"/>
        </w:rPr>
        <w:t xml:space="preserve">., 1976; </w:t>
      </w:r>
      <w:r w:rsidR="0057497F" w:rsidRPr="00A34E01">
        <w:rPr>
          <w:rFonts w:ascii="Arial" w:eastAsia="Times New Roman" w:hAnsi="Arial" w:cs="Arial"/>
          <w:color w:val="000000"/>
          <w:sz w:val="24"/>
          <w:szCs w:val="24"/>
          <w:lang w:val="en-US" w:eastAsia="ru-RU"/>
        </w:rPr>
        <w:t>Katz</w:t>
      </w:r>
      <w:r w:rsidR="0057497F" w:rsidRPr="00A34E01">
        <w:rPr>
          <w:rFonts w:ascii="Arial" w:eastAsia="Times New Roman" w:hAnsi="Arial" w:cs="Arial"/>
          <w:color w:val="000000"/>
          <w:sz w:val="24"/>
          <w:szCs w:val="24"/>
          <w:lang w:eastAsia="ru-RU"/>
        </w:rPr>
        <w:t xml:space="preserve"> </w:t>
      </w:r>
      <w:r w:rsidR="0057497F" w:rsidRPr="00A34E01">
        <w:rPr>
          <w:rFonts w:ascii="Arial" w:eastAsia="Times New Roman" w:hAnsi="Arial" w:cs="Arial"/>
          <w:color w:val="000000"/>
          <w:sz w:val="24"/>
          <w:szCs w:val="24"/>
          <w:lang w:val="en-US" w:eastAsia="ru-RU"/>
        </w:rPr>
        <w:t>E</w:t>
      </w:r>
      <w:r w:rsidR="002D313B" w:rsidRPr="00A34E01">
        <w:rPr>
          <w:rFonts w:ascii="Arial" w:eastAsia="Times New Roman" w:hAnsi="Arial" w:cs="Arial"/>
          <w:color w:val="000000"/>
          <w:sz w:val="24"/>
          <w:szCs w:val="24"/>
          <w:lang w:eastAsia="ru-RU"/>
        </w:rPr>
        <w:t xml:space="preserve">. </w:t>
      </w:r>
      <w:r w:rsidR="002D313B" w:rsidRPr="00A34E01">
        <w:rPr>
          <w:rFonts w:ascii="Arial" w:eastAsia="Times New Roman" w:hAnsi="Arial" w:cs="Arial"/>
          <w:color w:val="000000"/>
          <w:sz w:val="24"/>
          <w:szCs w:val="24"/>
          <w:lang w:val="en-US" w:eastAsia="ru-RU"/>
        </w:rPr>
        <w:t>Et</w:t>
      </w:r>
      <w:r w:rsidR="002D313B" w:rsidRPr="00A34E01">
        <w:rPr>
          <w:rFonts w:ascii="Arial" w:eastAsia="Times New Roman" w:hAnsi="Arial" w:cs="Arial"/>
          <w:color w:val="000000"/>
          <w:sz w:val="24"/>
          <w:szCs w:val="24"/>
          <w:lang w:eastAsia="ru-RU"/>
        </w:rPr>
        <w:t xml:space="preserve"> </w:t>
      </w:r>
      <w:r w:rsidR="002D313B" w:rsidRPr="00A34E01">
        <w:rPr>
          <w:rFonts w:ascii="Arial" w:eastAsia="Times New Roman" w:hAnsi="Arial" w:cs="Arial"/>
          <w:color w:val="000000"/>
          <w:sz w:val="24"/>
          <w:szCs w:val="24"/>
          <w:lang w:val="en-US" w:eastAsia="ru-RU"/>
        </w:rPr>
        <w:t>al</w:t>
      </w:r>
      <w:r w:rsidR="002D313B" w:rsidRPr="00A34E01">
        <w:rPr>
          <w:rFonts w:ascii="Arial" w:eastAsia="Times New Roman" w:hAnsi="Arial" w:cs="Arial"/>
          <w:color w:val="000000"/>
          <w:sz w:val="24"/>
          <w:szCs w:val="24"/>
          <w:lang w:eastAsia="ru-RU"/>
        </w:rPr>
        <w:t xml:space="preserve">., 1976; </w:t>
      </w:r>
      <w:proofErr w:type="spellStart"/>
      <w:r w:rsidR="0057497F" w:rsidRPr="00A34E01">
        <w:rPr>
          <w:rFonts w:ascii="Arial" w:eastAsia="Times New Roman" w:hAnsi="Arial" w:cs="Arial"/>
          <w:color w:val="000000"/>
          <w:sz w:val="24"/>
          <w:szCs w:val="24"/>
          <w:lang w:val="en-US" w:eastAsia="ru-RU"/>
        </w:rPr>
        <w:t>Kuehne</w:t>
      </w:r>
      <w:proofErr w:type="spellEnd"/>
      <w:r w:rsidR="0057497F" w:rsidRPr="00A34E01">
        <w:rPr>
          <w:rFonts w:ascii="Arial" w:eastAsia="Times New Roman" w:hAnsi="Arial" w:cs="Arial"/>
          <w:color w:val="000000"/>
          <w:sz w:val="24"/>
          <w:szCs w:val="24"/>
          <w:lang w:eastAsia="ru-RU"/>
        </w:rPr>
        <w:t xml:space="preserve"> </w:t>
      </w:r>
      <w:r w:rsidR="0057497F" w:rsidRPr="00A34E01">
        <w:rPr>
          <w:rFonts w:ascii="Arial" w:eastAsia="Times New Roman" w:hAnsi="Arial" w:cs="Arial"/>
          <w:color w:val="000000"/>
          <w:sz w:val="24"/>
          <w:szCs w:val="24"/>
          <w:lang w:val="en-US" w:eastAsia="ru-RU"/>
        </w:rPr>
        <w:t>R</w:t>
      </w:r>
      <w:r w:rsidR="0057497F" w:rsidRPr="00A34E01">
        <w:rPr>
          <w:rFonts w:ascii="Arial" w:eastAsia="Times New Roman" w:hAnsi="Arial" w:cs="Arial"/>
          <w:color w:val="000000"/>
          <w:sz w:val="24"/>
          <w:szCs w:val="24"/>
          <w:lang w:eastAsia="ru-RU"/>
        </w:rPr>
        <w:t>.</w:t>
      </w:r>
      <w:r w:rsidR="0057497F" w:rsidRPr="00A34E01">
        <w:rPr>
          <w:rFonts w:ascii="Arial" w:eastAsia="Times New Roman" w:hAnsi="Arial" w:cs="Arial"/>
          <w:color w:val="000000"/>
          <w:sz w:val="24"/>
          <w:szCs w:val="24"/>
          <w:lang w:val="en-US" w:eastAsia="ru-RU"/>
        </w:rPr>
        <w:t>W</w:t>
      </w:r>
      <w:r w:rsidR="002D313B" w:rsidRPr="00A34E01">
        <w:rPr>
          <w:rFonts w:ascii="Arial" w:eastAsia="Times New Roman" w:hAnsi="Arial" w:cs="Arial"/>
          <w:color w:val="000000"/>
          <w:sz w:val="24"/>
          <w:szCs w:val="24"/>
          <w:lang w:eastAsia="ru-RU"/>
        </w:rPr>
        <w:t xml:space="preserve">. </w:t>
      </w:r>
      <w:proofErr w:type="spellStart"/>
      <w:r w:rsidR="002D313B" w:rsidRPr="00A34E01">
        <w:rPr>
          <w:rFonts w:ascii="Arial" w:eastAsia="Times New Roman" w:hAnsi="Arial" w:cs="Arial"/>
          <w:color w:val="000000"/>
          <w:sz w:val="24"/>
          <w:szCs w:val="24"/>
          <w:lang w:eastAsia="ru-RU"/>
        </w:rPr>
        <w:t>et</w:t>
      </w:r>
      <w:proofErr w:type="spellEnd"/>
      <w:r w:rsidR="002D313B" w:rsidRPr="00A34E01">
        <w:rPr>
          <w:rFonts w:ascii="Arial" w:eastAsia="Times New Roman" w:hAnsi="Arial" w:cs="Arial"/>
          <w:color w:val="000000"/>
          <w:sz w:val="24"/>
          <w:szCs w:val="24"/>
          <w:lang w:eastAsia="ru-RU"/>
        </w:rPr>
        <w:t xml:space="preserve"> </w:t>
      </w:r>
      <w:proofErr w:type="spellStart"/>
      <w:r w:rsidR="002D313B" w:rsidRPr="00A34E01">
        <w:rPr>
          <w:rFonts w:ascii="Arial" w:eastAsia="Times New Roman" w:hAnsi="Arial" w:cs="Arial"/>
          <w:color w:val="000000"/>
          <w:sz w:val="24"/>
          <w:szCs w:val="24"/>
          <w:lang w:eastAsia="ru-RU"/>
        </w:rPr>
        <w:t>al</w:t>
      </w:r>
      <w:proofErr w:type="spellEnd"/>
      <w:r w:rsidR="002D313B" w:rsidRPr="00A34E01">
        <w:rPr>
          <w:rFonts w:ascii="Arial" w:eastAsia="Times New Roman" w:hAnsi="Arial" w:cs="Arial"/>
          <w:color w:val="000000"/>
          <w:sz w:val="24"/>
          <w:szCs w:val="24"/>
          <w:lang w:eastAsia="ru-RU"/>
        </w:rPr>
        <w:t xml:space="preserve">., 1977; </w:t>
      </w:r>
      <w:proofErr w:type="spellStart"/>
      <w:r w:rsidR="0057497F" w:rsidRPr="00A34E01">
        <w:rPr>
          <w:rFonts w:ascii="Arial" w:eastAsia="Times New Roman" w:hAnsi="Arial" w:cs="Arial"/>
          <w:color w:val="000000"/>
          <w:sz w:val="24"/>
          <w:szCs w:val="24"/>
          <w:lang w:val="en-US" w:eastAsia="ru-RU"/>
        </w:rPr>
        <w:t>Vargin</w:t>
      </w:r>
      <w:proofErr w:type="spellEnd"/>
      <w:r w:rsidR="0057497F" w:rsidRPr="00A34E01">
        <w:rPr>
          <w:rFonts w:ascii="Arial" w:eastAsia="Times New Roman" w:hAnsi="Arial" w:cs="Arial"/>
          <w:color w:val="000000"/>
          <w:sz w:val="24"/>
          <w:szCs w:val="24"/>
          <w:lang w:eastAsia="ru-RU"/>
        </w:rPr>
        <w:t xml:space="preserve"> </w:t>
      </w:r>
      <w:r w:rsidR="0057497F" w:rsidRPr="00A34E01">
        <w:rPr>
          <w:rFonts w:ascii="Arial" w:eastAsia="Times New Roman" w:hAnsi="Arial" w:cs="Arial"/>
          <w:color w:val="000000"/>
          <w:sz w:val="24"/>
          <w:szCs w:val="24"/>
          <w:lang w:val="en-US" w:eastAsia="ru-RU"/>
        </w:rPr>
        <w:t>V</w:t>
      </w:r>
      <w:r w:rsidR="0057497F" w:rsidRPr="00A34E01">
        <w:rPr>
          <w:rFonts w:ascii="Arial" w:eastAsia="Times New Roman" w:hAnsi="Arial" w:cs="Arial"/>
          <w:color w:val="000000"/>
          <w:sz w:val="24"/>
          <w:szCs w:val="24"/>
          <w:lang w:eastAsia="ru-RU"/>
        </w:rPr>
        <w:t>.</w:t>
      </w:r>
      <w:r w:rsidR="0057497F" w:rsidRPr="00A34E01">
        <w:rPr>
          <w:rFonts w:ascii="Arial" w:eastAsia="Times New Roman" w:hAnsi="Arial" w:cs="Arial"/>
          <w:color w:val="000000"/>
          <w:sz w:val="24"/>
          <w:szCs w:val="24"/>
          <w:lang w:val="en-US" w:eastAsia="ru-RU"/>
        </w:rPr>
        <w:t>V</w:t>
      </w:r>
      <w:r w:rsidR="002D313B" w:rsidRPr="00A34E01">
        <w:rPr>
          <w:rFonts w:ascii="Arial" w:eastAsia="Times New Roman" w:hAnsi="Arial" w:cs="Arial"/>
          <w:color w:val="000000"/>
          <w:sz w:val="24"/>
          <w:szCs w:val="24"/>
          <w:lang w:eastAsia="ru-RU"/>
        </w:rPr>
        <w:t xml:space="preserve">. </w:t>
      </w:r>
      <w:proofErr w:type="spellStart"/>
      <w:r w:rsidR="002D313B" w:rsidRPr="00A34E01">
        <w:rPr>
          <w:rFonts w:ascii="Arial" w:eastAsia="Times New Roman" w:hAnsi="Arial" w:cs="Arial"/>
          <w:color w:val="000000"/>
          <w:sz w:val="24"/>
          <w:szCs w:val="24"/>
          <w:lang w:eastAsia="ru-RU"/>
        </w:rPr>
        <w:t>et</w:t>
      </w:r>
      <w:proofErr w:type="spellEnd"/>
      <w:r w:rsidR="002D313B" w:rsidRPr="00A34E01">
        <w:rPr>
          <w:rFonts w:ascii="Arial" w:eastAsia="Times New Roman" w:hAnsi="Arial" w:cs="Arial"/>
          <w:color w:val="000000"/>
          <w:sz w:val="24"/>
          <w:szCs w:val="24"/>
          <w:lang w:eastAsia="ru-RU"/>
        </w:rPr>
        <w:t xml:space="preserve"> </w:t>
      </w:r>
      <w:proofErr w:type="spellStart"/>
      <w:r w:rsidR="002D313B" w:rsidRPr="00A34E01">
        <w:rPr>
          <w:rFonts w:ascii="Arial" w:eastAsia="Times New Roman" w:hAnsi="Arial" w:cs="Arial"/>
          <w:color w:val="000000"/>
          <w:sz w:val="24"/>
          <w:szCs w:val="24"/>
          <w:lang w:eastAsia="ru-RU"/>
        </w:rPr>
        <w:t>al</w:t>
      </w:r>
      <w:proofErr w:type="spellEnd"/>
      <w:r w:rsidR="002D313B" w:rsidRPr="00A34E01">
        <w:rPr>
          <w:rFonts w:ascii="Arial" w:eastAsia="Times New Roman" w:hAnsi="Arial" w:cs="Arial"/>
          <w:color w:val="000000"/>
          <w:sz w:val="24"/>
          <w:szCs w:val="24"/>
          <w:lang w:eastAsia="ru-RU"/>
        </w:rPr>
        <w:t xml:space="preserve">., 1977; </w:t>
      </w:r>
      <w:proofErr w:type="spellStart"/>
      <w:r w:rsidR="0057497F" w:rsidRPr="00A34E01">
        <w:rPr>
          <w:rFonts w:ascii="Arial" w:eastAsia="Times New Roman" w:hAnsi="Arial" w:cs="Arial"/>
          <w:color w:val="000000"/>
          <w:sz w:val="24"/>
          <w:szCs w:val="24"/>
          <w:lang w:val="en-US" w:eastAsia="ru-RU"/>
        </w:rPr>
        <w:t>Veckenstedt</w:t>
      </w:r>
      <w:proofErr w:type="spellEnd"/>
      <w:r w:rsidR="0057497F" w:rsidRPr="00A34E01">
        <w:rPr>
          <w:rFonts w:ascii="Arial" w:eastAsia="Times New Roman" w:hAnsi="Arial" w:cs="Arial"/>
          <w:color w:val="000000"/>
          <w:sz w:val="24"/>
          <w:szCs w:val="24"/>
          <w:lang w:eastAsia="ru-RU"/>
        </w:rPr>
        <w:t xml:space="preserve"> </w:t>
      </w:r>
      <w:r w:rsidR="0057497F" w:rsidRPr="00A34E01">
        <w:rPr>
          <w:rFonts w:ascii="Arial" w:eastAsia="Times New Roman" w:hAnsi="Arial" w:cs="Arial"/>
          <w:color w:val="000000"/>
          <w:sz w:val="24"/>
          <w:szCs w:val="24"/>
          <w:lang w:val="en-US" w:eastAsia="ru-RU"/>
        </w:rPr>
        <w:t>A</w:t>
      </w:r>
      <w:r w:rsidR="002D313B" w:rsidRPr="00A34E01">
        <w:rPr>
          <w:rFonts w:ascii="Arial" w:eastAsia="Times New Roman" w:hAnsi="Arial" w:cs="Arial"/>
          <w:color w:val="000000"/>
          <w:sz w:val="24"/>
          <w:szCs w:val="24"/>
          <w:lang w:eastAsia="ru-RU"/>
        </w:rPr>
        <w:t>.</w:t>
      </w:r>
      <w:r w:rsidR="0057497F" w:rsidRPr="00A34E01">
        <w:rPr>
          <w:rFonts w:ascii="Arial" w:eastAsia="Times New Roman" w:hAnsi="Arial" w:cs="Arial"/>
          <w:color w:val="000000"/>
          <w:sz w:val="24"/>
          <w:szCs w:val="24"/>
          <w:lang w:eastAsia="ru-RU"/>
        </w:rPr>
        <w:t xml:space="preserve"> </w:t>
      </w:r>
      <w:r w:rsidR="002D313B" w:rsidRPr="00A34E01">
        <w:rPr>
          <w:rFonts w:ascii="Arial" w:eastAsia="Times New Roman" w:hAnsi="Arial" w:cs="Arial"/>
          <w:color w:val="000000"/>
          <w:sz w:val="24"/>
          <w:szCs w:val="24"/>
          <w:lang w:val="en-US" w:eastAsia="ru-RU"/>
        </w:rPr>
        <w:t>et</w:t>
      </w:r>
      <w:r w:rsidR="002D313B" w:rsidRPr="00A34E01">
        <w:rPr>
          <w:rFonts w:ascii="Arial" w:eastAsia="Times New Roman" w:hAnsi="Arial" w:cs="Arial"/>
          <w:color w:val="000000"/>
          <w:sz w:val="24"/>
          <w:szCs w:val="24"/>
          <w:lang w:eastAsia="ru-RU"/>
        </w:rPr>
        <w:t xml:space="preserve"> </w:t>
      </w:r>
      <w:r w:rsidR="002D313B" w:rsidRPr="00A34E01">
        <w:rPr>
          <w:rFonts w:ascii="Arial" w:eastAsia="Times New Roman" w:hAnsi="Arial" w:cs="Arial"/>
          <w:color w:val="000000"/>
          <w:sz w:val="24"/>
          <w:szCs w:val="24"/>
          <w:lang w:val="en-US" w:eastAsia="ru-RU"/>
        </w:rPr>
        <w:t>al</w:t>
      </w:r>
      <w:r w:rsidR="002D313B" w:rsidRPr="00A34E01">
        <w:rPr>
          <w:rFonts w:ascii="Arial" w:eastAsia="Times New Roman" w:hAnsi="Arial" w:cs="Arial"/>
          <w:color w:val="000000"/>
          <w:sz w:val="24"/>
          <w:szCs w:val="24"/>
          <w:lang w:eastAsia="ru-RU"/>
        </w:rPr>
        <w:t xml:space="preserve">., 1979; </w:t>
      </w:r>
      <w:r w:rsidR="0057497F" w:rsidRPr="00A34E01">
        <w:rPr>
          <w:rFonts w:ascii="Arial" w:eastAsia="Times New Roman" w:hAnsi="Arial" w:cs="Arial"/>
          <w:color w:val="000000"/>
          <w:sz w:val="24"/>
          <w:szCs w:val="24"/>
          <w:lang w:val="en-US" w:eastAsia="ru-RU"/>
        </w:rPr>
        <w:t>Harrington</w:t>
      </w:r>
      <w:r w:rsidR="0057497F" w:rsidRPr="00A34E01">
        <w:rPr>
          <w:rFonts w:ascii="Arial" w:eastAsia="Times New Roman" w:hAnsi="Arial" w:cs="Arial"/>
          <w:color w:val="000000"/>
          <w:sz w:val="24"/>
          <w:szCs w:val="24"/>
          <w:lang w:eastAsia="ru-RU"/>
        </w:rPr>
        <w:t xml:space="preserve"> </w:t>
      </w:r>
      <w:r w:rsidR="0057497F" w:rsidRPr="00A34E01">
        <w:rPr>
          <w:rFonts w:ascii="Arial" w:eastAsia="Times New Roman" w:hAnsi="Arial" w:cs="Arial"/>
          <w:color w:val="000000"/>
          <w:sz w:val="24"/>
          <w:szCs w:val="24"/>
          <w:lang w:val="en-US" w:eastAsia="ru-RU"/>
        </w:rPr>
        <w:t>D</w:t>
      </w:r>
      <w:r w:rsidR="0057497F" w:rsidRPr="00A34E01">
        <w:rPr>
          <w:rFonts w:ascii="Arial" w:eastAsia="Times New Roman" w:hAnsi="Arial" w:cs="Arial"/>
          <w:color w:val="000000"/>
          <w:sz w:val="24"/>
          <w:szCs w:val="24"/>
          <w:lang w:eastAsia="ru-RU"/>
        </w:rPr>
        <w:t>.</w:t>
      </w:r>
      <w:r w:rsidR="0057497F" w:rsidRPr="00A34E01">
        <w:rPr>
          <w:rFonts w:ascii="Arial" w:eastAsia="Times New Roman" w:hAnsi="Arial" w:cs="Arial"/>
          <w:color w:val="000000"/>
          <w:sz w:val="24"/>
          <w:szCs w:val="24"/>
          <w:lang w:val="en-US" w:eastAsia="ru-RU"/>
        </w:rPr>
        <w:t>G</w:t>
      </w:r>
      <w:r w:rsidR="002D313B" w:rsidRPr="00A34E01">
        <w:rPr>
          <w:rFonts w:ascii="Arial" w:eastAsia="Times New Roman" w:hAnsi="Arial" w:cs="Arial"/>
          <w:color w:val="000000"/>
          <w:sz w:val="24"/>
          <w:szCs w:val="24"/>
          <w:lang w:eastAsia="ru-RU"/>
        </w:rPr>
        <w:t xml:space="preserve">. </w:t>
      </w:r>
      <w:proofErr w:type="spellStart"/>
      <w:r w:rsidR="002D313B" w:rsidRPr="00A34E01">
        <w:rPr>
          <w:rFonts w:ascii="Arial" w:eastAsia="Times New Roman" w:hAnsi="Arial" w:cs="Arial"/>
          <w:color w:val="000000"/>
          <w:sz w:val="24"/>
          <w:szCs w:val="24"/>
          <w:lang w:eastAsia="ru-RU"/>
        </w:rPr>
        <w:t>et</w:t>
      </w:r>
      <w:proofErr w:type="spellEnd"/>
      <w:r w:rsidR="002D313B" w:rsidRPr="00A34E01">
        <w:rPr>
          <w:rFonts w:ascii="Arial" w:eastAsia="Times New Roman" w:hAnsi="Arial" w:cs="Arial"/>
          <w:color w:val="000000"/>
          <w:sz w:val="24"/>
          <w:szCs w:val="24"/>
          <w:lang w:eastAsia="ru-RU"/>
        </w:rPr>
        <w:t xml:space="preserve"> </w:t>
      </w:r>
      <w:proofErr w:type="spellStart"/>
      <w:r w:rsidR="002D313B" w:rsidRPr="00A34E01">
        <w:rPr>
          <w:rFonts w:ascii="Arial" w:eastAsia="Times New Roman" w:hAnsi="Arial" w:cs="Arial"/>
          <w:color w:val="000000"/>
          <w:sz w:val="24"/>
          <w:szCs w:val="24"/>
          <w:lang w:eastAsia="ru-RU"/>
        </w:rPr>
        <w:t>al</w:t>
      </w:r>
      <w:proofErr w:type="spellEnd"/>
      <w:r w:rsidR="002D313B" w:rsidRPr="00A34E01">
        <w:rPr>
          <w:rFonts w:ascii="Arial" w:eastAsia="Times New Roman" w:hAnsi="Arial" w:cs="Arial"/>
          <w:color w:val="000000"/>
          <w:sz w:val="24"/>
          <w:szCs w:val="24"/>
          <w:lang w:eastAsia="ru-RU"/>
        </w:rPr>
        <w:t xml:space="preserve">., 1982; </w:t>
      </w:r>
      <w:proofErr w:type="spellStart"/>
      <w:r w:rsidR="0057497F" w:rsidRPr="00A34E01">
        <w:rPr>
          <w:rFonts w:ascii="Arial" w:eastAsia="Times New Roman" w:hAnsi="Arial" w:cs="Arial"/>
          <w:color w:val="000000"/>
          <w:sz w:val="24"/>
          <w:szCs w:val="24"/>
          <w:lang w:val="en-US" w:eastAsia="ru-RU"/>
        </w:rPr>
        <w:t>Karpov</w:t>
      </w:r>
      <w:proofErr w:type="spellEnd"/>
      <w:r w:rsidR="0057497F" w:rsidRPr="00A34E01">
        <w:rPr>
          <w:rFonts w:ascii="Arial" w:eastAsia="Times New Roman" w:hAnsi="Arial" w:cs="Arial"/>
          <w:color w:val="000000"/>
          <w:sz w:val="24"/>
          <w:szCs w:val="24"/>
          <w:lang w:eastAsia="ru-RU"/>
        </w:rPr>
        <w:t xml:space="preserve"> </w:t>
      </w:r>
      <w:r w:rsidR="0057497F" w:rsidRPr="00A34E01">
        <w:rPr>
          <w:rFonts w:ascii="Arial" w:eastAsia="Times New Roman" w:hAnsi="Arial" w:cs="Arial"/>
          <w:color w:val="000000"/>
          <w:sz w:val="24"/>
          <w:szCs w:val="24"/>
          <w:lang w:val="en-US" w:eastAsia="ru-RU"/>
        </w:rPr>
        <w:t>A</w:t>
      </w:r>
      <w:r w:rsidR="0057497F" w:rsidRPr="00A34E01">
        <w:rPr>
          <w:rFonts w:ascii="Arial" w:eastAsia="Times New Roman" w:hAnsi="Arial" w:cs="Arial"/>
          <w:color w:val="000000"/>
          <w:sz w:val="24"/>
          <w:szCs w:val="24"/>
          <w:lang w:eastAsia="ru-RU"/>
        </w:rPr>
        <w:t>.</w:t>
      </w:r>
      <w:r w:rsidR="0057497F" w:rsidRPr="00A34E01">
        <w:rPr>
          <w:rFonts w:ascii="Arial" w:eastAsia="Times New Roman" w:hAnsi="Arial" w:cs="Arial"/>
          <w:color w:val="000000"/>
          <w:sz w:val="24"/>
          <w:szCs w:val="24"/>
          <w:lang w:val="en-US" w:eastAsia="ru-RU"/>
        </w:rPr>
        <w:t>V</w:t>
      </w:r>
      <w:r w:rsidR="002D313B" w:rsidRPr="00A34E01">
        <w:rPr>
          <w:rFonts w:ascii="Arial" w:eastAsia="Times New Roman" w:hAnsi="Arial" w:cs="Arial"/>
          <w:color w:val="000000"/>
          <w:sz w:val="24"/>
          <w:szCs w:val="24"/>
          <w:lang w:eastAsia="ru-RU"/>
        </w:rPr>
        <w:t xml:space="preserve">. </w:t>
      </w:r>
      <w:proofErr w:type="spellStart"/>
      <w:r w:rsidR="002D313B" w:rsidRPr="00A34E01">
        <w:rPr>
          <w:rFonts w:ascii="Arial" w:eastAsia="Times New Roman" w:hAnsi="Arial" w:cs="Arial"/>
          <w:color w:val="000000"/>
          <w:sz w:val="24"/>
          <w:szCs w:val="24"/>
          <w:lang w:eastAsia="ru-RU"/>
        </w:rPr>
        <w:t>et</w:t>
      </w:r>
      <w:proofErr w:type="spellEnd"/>
      <w:r w:rsidR="002D313B" w:rsidRPr="00A34E01">
        <w:rPr>
          <w:rFonts w:ascii="Arial" w:eastAsia="Times New Roman" w:hAnsi="Arial" w:cs="Arial"/>
          <w:color w:val="000000"/>
          <w:sz w:val="24"/>
          <w:szCs w:val="24"/>
          <w:lang w:eastAsia="ru-RU"/>
        </w:rPr>
        <w:t xml:space="preserve"> </w:t>
      </w:r>
      <w:proofErr w:type="spellStart"/>
      <w:r w:rsidR="002D313B" w:rsidRPr="00A34E01">
        <w:rPr>
          <w:rFonts w:ascii="Arial" w:eastAsia="Times New Roman" w:hAnsi="Arial" w:cs="Arial"/>
          <w:color w:val="000000"/>
          <w:sz w:val="24"/>
          <w:szCs w:val="24"/>
          <w:lang w:eastAsia="ru-RU"/>
        </w:rPr>
        <w:t>al</w:t>
      </w:r>
      <w:proofErr w:type="spellEnd"/>
      <w:r w:rsidR="002D313B" w:rsidRPr="00A34E01">
        <w:rPr>
          <w:rFonts w:ascii="Arial" w:eastAsia="Times New Roman" w:hAnsi="Arial" w:cs="Arial"/>
          <w:color w:val="000000"/>
          <w:sz w:val="24"/>
          <w:szCs w:val="24"/>
          <w:lang w:eastAsia="ru-RU"/>
        </w:rPr>
        <w:t xml:space="preserve">., 2001; </w:t>
      </w:r>
      <w:r w:rsidR="0057497F" w:rsidRPr="00A34E01">
        <w:rPr>
          <w:rFonts w:ascii="Arial" w:eastAsia="Times New Roman" w:hAnsi="Arial" w:cs="Arial"/>
          <w:color w:val="000000"/>
          <w:sz w:val="24"/>
          <w:szCs w:val="24"/>
          <w:lang w:val="en-US" w:eastAsia="ru-RU"/>
        </w:rPr>
        <w:t>Lane</w:t>
      </w:r>
      <w:r w:rsidR="0057497F" w:rsidRPr="00A34E01">
        <w:rPr>
          <w:rFonts w:ascii="Arial" w:eastAsia="Times New Roman" w:hAnsi="Arial" w:cs="Arial"/>
          <w:color w:val="000000"/>
          <w:sz w:val="24"/>
          <w:szCs w:val="24"/>
          <w:lang w:eastAsia="ru-RU"/>
        </w:rPr>
        <w:t xml:space="preserve"> </w:t>
      </w:r>
      <w:r w:rsidR="0057497F" w:rsidRPr="00A34E01">
        <w:rPr>
          <w:rFonts w:ascii="Arial" w:eastAsia="Times New Roman" w:hAnsi="Arial" w:cs="Arial"/>
          <w:color w:val="000000"/>
          <w:sz w:val="24"/>
          <w:szCs w:val="24"/>
          <w:lang w:val="en-US" w:eastAsia="ru-RU"/>
        </w:rPr>
        <w:t>T</w:t>
      </w:r>
      <w:r w:rsidR="0057497F" w:rsidRPr="00A34E01">
        <w:rPr>
          <w:rFonts w:ascii="Arial" w:eastAsia="Times New Roman" w:hAnsi="Arial" w:cs="Arial"/>
          <w:color w:val="000000"/>
          <w:sz w:val="24"/>
          <w:szCs w:val="24"/>
          <w:lang w:eastAsia="ru-RU"/>
        </w:rPr>
        <w:t>.</w:t>
      </w:r>
      <w:r w:rsidR="0057497F" w:rsidRPr="00A34E01">
        <w:rPr>
          <w:rFonts w:ascii="Arial" w:eastAsia="Times New Roman" w:hAnsi="Arial" w:cs="Arial"/>
          <w:color w:val="000000"/>
          <w:sz w:val="24"/>
          <w:szCs w:val="24"/>
          <w:lang w:val="en-US" w:eastAsia="ru-RU"/>
        </w:rPr>
        <w:t>R</w:t>
      </w:r>
      <w:r w:rsidR="002D313B" w:rsidRPr="00A34E01">
        <w:rPr>
          <w:rFonts w:ascii="Arial" w:eastAsia="Times New Roman" w:hAnsi="Arial" w:cs="Arial"/>
          <w:color w:val="000000"/>
          <w:sz w:val="24"/>
          <w:szCs w:val="24"/>
          <w:lang w:eastAsia="ru-RU"/>
        </w:rPr>
        <w:t xml:space="preserve">. </w:t>
      </w:r>
      <w:r w:rsidR="002D313B" w:rsidRPr="00A34E01">
        <w:rPr>
          <w:rFonts w:ascii="Arial" w:eastAsia="Times New Roman" w:hAnsi="Arial" w:cs="Arial"/>
          <w:color w:val="000000"/>
          <w:sz w:val="24"/>
          <w:szCs w:val="24"/>
          <w:lang w:val="en-US" w:eastAsia="ru-RU"/>
        </w:rPr>
        <w:t>et</w:t>
      </w:r>
      <w:r w:rsidR="002D313B" w:rsidRPr="00A34E01">
        <w:rPr>
          <w:rFonts w:ascii="Arial" w:eastAsia="Times New Roman" w:hAnsi="Arial" w:cs="Arial"/>
          <w:color w:val="000000"/>
          <w:sz w:val="24"/>
          <w:szCs w:val="24"/>
          <w:lang w:eastAsia="ru-RU"/>
        </w:rPr>
        <w:t xml:space="preserve"> </w:t>
      </w:r>
      <w:r w:rsidR="002D313B" w:rsidRPr="00A34E01">
        <w:rPr>
          <w:rFonts w:ascii="Arial" w:eastAsia="Times New Roman" w:hAnsi="Arial" w:cs="Arial"/>
          <w:color w:val="000000"/>
          <w:sz w:val="24"/>
          <w:szCs w:val="24"/>
          <w:lang w:val="en-US" w:eastAsia="ru-RU"/>
        </w:rPr>
        <w:t>al</w:t>
      </w:r>
      <w:r w:rsidR="002D313B" w:rsidRPr="00A34E01">
        <w:rPr>
          <w:rFonts w:ascii="Arial" w:eastAsia="Times New Roman" w:hAnsi="Arial" w:cs="Arial"/>
          <w:color w:val="000000"/>
          <w:sz w:val="24"/>
          <w:szCs w:val="24"/>
          <w:lang w:eastAsia="ru-RU"/>
        </w:rPr>
        <w:t xml:space="preserve">., 2019; </w:t>
      </w:r>
      <w:r w:rsidR="0057497F" w:rsidRPr="00A34E01">
        <w:rPr>
          <w:rFonts w:ascii="Arial" w:eastAsia="Times New Roman" w:hAnsi="Arial" w:cs="Arial"/>
          <w:color w:val="000000"/>
          <w:sz w:val="24"/>
          <w:szCs w:val="24"/>
          <w:lang w:val="en-US" w:eastAsia="ru-RU"/>
        </w:rPr>
        <w:t>Shen</w:t>
      </w:r>
      <w:r w:rsidR="0057497F" w:rsidRPr="00A34E01">
        <w:rPr>
          <w:rFonts w:ascii="Arial" w:eastAsia="Times New Roman" w:hAnsi="Arial" w:cs="Arial"/>
          <w:color w:val="000000"/>
          <w:sz w:val="24"/>
          <w:szCs w:val="24"/>
          <w:lang w:eastAsia="ru-RU"/>
        </w:rPr>
        <w:t xml:space="preserve"> </w:t>
      </w:r>
      <w:r w:rsidR="0057497F" w:rsidRPr="00A34E01">
        <w:rPr>
          <w:rFonts w:ascii="Arial" w:eastAsia="Times New Roman" w:hAnsi="Arial" w:cs="Arial"/>
          <w:color w:val="000000"/>
          <w:sz w:val="24"/>
          <w:szCs w:val="24"/>
          <w:lang w:val="en-US" w:eastAsia="ru-RU"/>
        </w:rPr>
        <w:t>L</w:t>
      </w:r>
      <w:r w:rsidR="002D313B" w:rsidRPr="00A34E01">
        <w:rPr>
          <w:rFonts w:ascii="Arial" w:eastAsia="Times New Roman" w:hAnsi="Arial" w:cs="Arial"/>
          <w:color w:val="000000"/>
          <w:sz w:val="24"/>
          <w:szCs w:val="24"/>
          <w:lang w:eastAsia="ru-RU"/>
        </w:rPr>
        <w:t xml:space="preserve">. </w:t>
      </w:r>
      <w:r w:rsidR="002D313B" w:rsidRPr="00A34E01">
        <w:rPr>
          <w:rFonts w:ascii="Arial" w:eastAsia="Times New Roman" w:hAnsi="Arial" w:cs="Arial"/>
          <w:color w:val="000000"/>
          <w:sz w:val="24"/>
          <w:szCs w:val="24"/>
          <w:lang w:val="en-US" w:eastAsia="ru-RU"/>
        </w:rPr>
        <w:t>et</w:t>
      </w:r>
      <w:r w:rsidR="002D313B" w:rsidRPr="00A34E01">
        <w:rPr>
          <w:rFonts w:ascii="Arial" w:eastAsia="Times New Roman" w:hAnsi="Arial" w:cs="Arial"/>
          <w:color w:val="000000"/>
          <w:sz w:val="24"/>
          <w:szCs w:val="24"/>
          <w:lang w:eastAsia="ru-RU"/>
        </w:rPr>
        <w:t xml:space="preserve"> </w:t>
      </w:r>
      <w:r w:rsidR="002D313B" w:rsidRPr="00A34E01">
        <w:rPr>
          <w:rFonts w:ascii="Arial" w:eastAsia="Times New Roman" w:hAnsi="Arial" w:cs="Arial"/>
          <w:color w:val="000000"/>
          <w:sz w:val="24"/>
          <w:szCs w:val="24"/>
          <w:lang w:val="en-US" w:eastAsia="ru-RU"/>
        </w:rPr>
        <w:t>al</w:t>
      </w:r>
      <w:r w:rsidR="002D313B" w:rsidRPr="00A34E01">
        <w:rPr>
          <w:rFonts w:ascii="Arial" w:eastAsia="Times New Roman" w:hAnsi="Arial" w:cs="Arial"/>
          <w:color w:val="000000"/>
          <w:sz w:val="24"/>
          <w:szCs w:val="24"/>
          <w:lang w:eastAsia="ru-RU"/>
        </w:rPr>
        <w:t xml:space="preserve">., 2019; </w:t>
      </w:r>
      <w:r w:rsidR="0057497F" w:rsidRPr="00A34E01">
        <w:rPr>
          <w:rFonts w:ascii="Arial" w:eastAsia="Times New Roman" w:hAnsi="Arial" w:cs="Arial"/>
          <w:color w:val="000000"/>
          <w:sz w:val="24"/>
          <w:szCs w:val="24"/>
          <w:lang w:val="en-US" w:eastAsia="ru-RU"/>
        </w:rPr>
        <w:t>Ekins</w:t>
      </w:r>
      <w:r w:rsidR="0057497F" w:rsidRPr="00A34E01">
        <w:rPr>
          <w:rFonts w:ascii="Arial" w:eastAsia="Times New Roman" w:hAnsi="Arial" w:cs="Arial"/>
          <w:color w:val="000000"/>
          <w:sz w:val="24"/>
          <w:szCs w:val="24"/>
          <w:lang w:eastAsia="ru-RU"/>
        </w:rPr>
        <w:t xml:space="preserve"> </w:t>
      </w:r>
      <w:r w:rsidR="0057497F" w:rsidRPr="00A34E01">
        <w:rPr>
          <w:rFonts w:ascii="Arial" w:eastAsia="Times New Roman" w:hAnsi="Arial" w:cs="Arial"/>
          <w:color w:val="000000"/>
          <w:sz w:val="24"/>
          <w:szCs w:val="24"/>
          <w:lang w:val="en-US" w:eastAsia="ru-RU"/>
        </w:rPr>
        <w:t>S</w:t>
      </w:r>
      <w:r w:rsidR="002D313B" w:rsidRPr="00A34E01">
        <w:rPr>
          <w:rFonts w:ascii="Arial" w:eastAsia="Times New Roman" w:hAnsi="Arial" w:cs="Arial"/>
          <w:color w:val="000000"/>
          <w:sz w:val="24"/>
          <w:szCs w:val="24"/>
          <w:lang w:eastAsia="ru-RU"/>
        </w:rPr>
        <w:t xml:space="preserve">. </w:t>
      </w:r>
      <w:r w:rsidR="002D313B" w:rsidRPr="00A34E01">
        <w:rPr>
          <w:rFonts w:ascii="Arial" w:eastAsia="Times New Roman" w:hAnsi="Arial" w:cs="Arial"/>
          <w:color w:val="000000"/>
          <w:sz w:val="24"/>
          <w:szCs w:val="24"/>
          <w:lang w:val="en-US" w:eastAsia="ru-RU"/>
        </w:rPr>
        <w:t>et</w:t>
      </w:r>
      <w:r w:rsidR="002D313B" w:rsidRPr="00A34E01">
        <w:rPr>
          <w:rFonts w:ascii="Arial" w:eastAsia="Times New Roman" w:hAnsi="Arial" w:cs="Arial"/>
          <w:color w:val="000000"/>
          <w:sz w:val="24"/>
          <w:szCs w:val="24"/>
          <w:lang w:eastAsia="ru-RU"/>
        </w:rPr>
        <w:t xml:space="preserve"> </w:t>
      </w:r>
      <w:r w:rsidR="002D313B" w:rsidRPr="00A34E01">
        <w:rPr>
          <w:rFonts w:ascii="Arial" w:eastAsia="Times New Roman" w:hAnsi="Arial" w:cs="Arial"/>
          <w:color w:val="000000"/>
          <w:sz w:val="24"/>
          <w:szCs w:val="24"/>
          <w:lang w:val="en-US" w:eastAsia="ru-RU"/>
        </w:rPr>
        <w:t>al</w:t>
      </w:r>
      <w:r w:rsidR="002D313B" w:rsidRPr="00A34E01">
        <w:rPr>
          <w:rFonts w:ascii="Arial" w:eastAsia="Times New Roman" w:hAnsi="Arial" w:cs="Arial"/>
          <w:color w:val="000000"/>
          <w:sz w:val="24"/>
          <w:szCs w:val="24"/>
          <w:lang w:eastAsia="ru-RU"/>
        </w:rPr>
        <w:t>., 2020</w:t>
      </w:r>
      <w:r w:rsidRPr="00A34E01">
        <w:rPr>
          <w:rFonts w:ascii="Arial" w:hAnsi="Arial" w:cs="Arial"/>
          <w:color w:val="000000"/>
          <w:sz w:val="24"/>
          <w:szCs w:val="24"/>
          <w:shd w:val="clear" w:color="auto" w:fill="FFFFFF"/>
        </w:rPr>
        <w:t>].</w:t>
      </w:r>
      <w:r w:rsidRPr="00A34E01">
        <w:rPr>
          <w:rFonts w:ascii="Arial" w:hAnsi="Arial" w:cs="Arial"/>
          <w:color w:val="000000"/>
          <w:sz w:val="24"/>
          <w:szCs w:val="24"/>
        </w:rPr>
        <w:t xml:space="preserve"> </w:t>
      </w:r>
    </w:p>
    <w:p w:rsidR="00884538" w:rsidRPr="00A34E01" w:rsidRDefault="00884538" w:rsidP="00A34E01">
      <w:pPr>
        <w:spacing w:after="0" w:line="360" w:lineRule="auto"/>
        <w:ind w:firstLine="567"/>
        <w:jc w:val="both"/>
        <w:rPr>
          <w:rFonts w:ascii="Arial" w:hAnsi="Arial" w:cs="Arial"/>
          <w:sz w:val="24"/>
          <w:szCs w:val="24"/>
        </w:rPr>
      </w:pPr>
      <w:r w:rsidRPr="00A34E01">
        <w:rPr>
          <w:rFonts w:ascii="Arial" w:hAnsi="Arial" w:cs="Arial"/>
          <w:sz w:val="24"/>
          <w:szCs w:val="24"/>
        </w:rPr>
        <w:t>В отечественной клинической практике препарат успешно применяют против различных вирусных инфекций, в том числе вызванных вирусами гриппа, другими респираторными вирусами, вирусами гепатита и вирусами герпеса [</w:t>
      </w:r>
      <w:r w:rsidR="002D313B" w:rsidRPr="00A34E01">
        <w:rPr>
          <w:rFonts w:ascii="Arial" w:hAnsi="Arial" w:cs="Arial"/>
          <w:sz w:val="24"/>
          <w:szCs w:val="24"/>
        </w:rPr>
        <w:t>Деева Э.Г., 2005</w:t>
      </w:r>
      <w:r w:rsidR="003734F9">
        <w:rPr>
          <w:rFonts w:ascii="Arial" w:hAnsi="Arial" w:cs="Arial"/>
          <w:sz w:val="24"/>
          <w:szCs w:val="24"/>
        </w:rPr>
        <w:t xml:space="preserve">]. Поскольку </w:t>
      </w:r>
      <w:proofErr w:type="spellStart"/>
      <w:r w:rsidR="003734F9">
        <w:rPr>
          <w:rFonts w:ascii="Arial" w:hAnsi="Arial" w:cs="Arial"/>
          <w:sz w:val="24"/>
          <w:szCs w:val="24"/>
        </w:rPr>
        <w:t>Т</w:t>
      </w:r>
      <w:r w:rsidRPr="00A34E01">
        <w:rPr>
          <w:rFonts w:ascii="Arial" w:hAnsi="Arial" w:cs="Arial"/>
          <w:sz w:val="24"/>
          <w:szCs w:val="24"/>
        </w:rPr>
        <w:t>илорон</w:t>
      </w:r>
      <w:proofErr w:type="spellEnd"/>
      <w:r w:rsidR="003734F9">
        <w:rPr>
          <w:rFonts w:ascii="Arial" w:hAnsi="Arial" w:cs="Arial"/>
          <w:sz w:val="24"/>
          <w:szCs w:val="24"/>
        </w:rPr>
        <w:t>-СЗ</w:t>
      </w:r>
      <w:r w:rsidRPr="00A34E01">
        <w:rPr>
          <w:rFonts w:ascii="Arial" w:hAnsi="Arial" w:cs="Arial"/>
          <w:sz w:val="24"/>
          <w:szCs w:val="24"/>
        </w:rPr>
        <w:t xml:space="preserve"> эффективен на всех стадиях развития вирусной инфекции, то он может применяться не только в качестве лечебного, но и </w:t>
      </w:r>
      <w:r w:rsidRPr="00A34E01">
        <w:rPr>
          <w:rFonts w:ascii="Arial" w:hAnsi="Arial" w:cs="Arial"/>
          <w:sz w:val="24"/>
          <w:szCs w:val="24"/>
        </w:rPr>
        <w:lastRenderedPageBreak/>
        <w:t xml:space="preserve">профилактического средства. </w:t>
      </w:r>
      <w:r w:rsidRPr="00A34E01">
        <w:rPr>
          <w:rFonts w:ascii="Arial" w:hAnsi="Arial" w:cs="Arial"/>
          <w:color w:val="333333"/>
          <w:sz w:val="24"/>
          <w:szCs w:val="24"/>
        </w:rPr>
        <w:t xml:space="preserve">В этом случае (применительно к профилактике </w:t>
      </w:r>
      <w:r w:rsidR="003734F9">
        <w:rPr>
          <w:rFonts w:ascii="Arial" w:hAnsi="Arial" w:cs="Arial"/>
          <w:color w:val="333333"/>
          <w:sz w:val="24"/>
          <w:szCs w:val="24"/>
        </w:rPr>
        <w:t xml:space="preserve">гриппа и других ОРВИ) действие </w:t>
      </w:r>
      <w:proofErr w:type="spellStart"/>
      <w:r w:rsidR="003734F9">
        <w:rPr>
          <w:rFonts w:ascii="Arial" w:hAnsi="Arial" w:cs="Arial"/>
          <w:color w:val="333333"/>
          <w:sz w:val="24"/>
          <w:szCs w:val="24"/>
        </w:rPr>
        <w:t>Т</w:t>
      </w:r>
      <w:r w:rsidRPr="00A34E01">
        <w:rPr>
          <w:rFonts w:ascii="Arial" w:hAnsi="Arial" w:cs="Arial"/>
          <w:color w:val="333333"/>
          <w:sz w:val="24"/>
          <w:szCs w:val="24"/>
        </w:rPr>
        <w:t>илорона</w:t>
      </w:r>
      <w:proofErr w:type="spellEnd"/>
      <w:r w:rsidR="003734F9">
        <w:rPr>
          <w:rFonts w:ascii="Arial" w:hAnsi="Arial" w:cs="Arial"/>
          <w:color w:val="333333"/>
          <w:sz w:val="24"/>
          <w:szCs w:val="24"/>
        </w:rPr>
        <w:t>-СЗ</w:t>
      </w:r>
      <w:r w:rsidRPr="00A34E01">
        <w:rPr>
          <w:rFonts w:ascii="Arial" w:hAnsi="Arial" w:cs="Arial"/>
          <w:color w:val="333333"/>
          <w:sz w:val="24"/>
          <w:szCs w:val="24"/>
        </w:rPr>
        <w:t xml:space="preserve"> обусловлено его свойством индуцировать образование интерферонов I и II типов, а также других цитокинов, имеющих врожденные вирус-</w:t>
      </w:r>
      <w:proofErr w:type="spellStart"/>
      <w:r w:rsidRPr="00A34E01">
        <w:rPr>
          <w:rFonts w:ascii="Arial" w:hAnsi="Arial" w:cs="Arial"/>
          <w:color w:val="333333"/>
          <w:sz w:val="24"/>
          <w:szCs w:val="24"/>
        </w:rPr>
        <w:t>протективные</w:t>
      </w:r>
      <w:proofErr w:type="spellEnd"/>
      <w:r w:rsidRPr="00A34E01">
        <w:rPr>
          <w:rFonts w:ascii="Arial" w:hAnsi="Arial" w:cs="Arial"/>
          <w:color w:val="333333"/>
          <w:sz w:val="24"/>
          <w:szCs w:val="24"/>
        </w:rPr>
        <w:t xml:space="preserve"> эффекты и стимулирующих местные адаптивные иммунные реакции в отношении инфицированных вирусом клеток. Сообща</w:t>
      </w:r>
      <w:r w:rsidR="003734F9">
        <w:rPr>
          <w:rFonts w:ascii="Arial" w:hAnsi="Arial" w:cs="Arial"/>
          <w:color w:val="333333"/>
          <w:sz w:val="24"/>
          <w:szCs w:val="24"/>
        </w:rPr>
        <w:t xml:space="preserve">ется об эффективном применении </w:t>
      </w:r>
      <w:proofErr w:type="spellStart"/>
      <w:r w:rsidR="003734F9">
        <w:rPr>
          <w:rFonts w:ascii="Arial" w:hAnsi="Arial" w:cs="Arial"/>
          <w:color w:val="333333"/>
          <w:sz w:val="24"/>
          <w:szCs w:val="24"/>
        </w:rPr>
        <w:t>т</w:t>
      </w:r>
      <w:r w:rsidRPr="00A34E01">
        <w:rPr>
          <w:rFonts w:ascii="Arial" w:hAnsi="Arial" w:cs="Arial"/>
          <w:color w:val="333333"/>
          <w:sz w:val="24"/>
          <w:szCs w:val="24"/>
        </w:rPr>
        <w:t>илорона</w:t>
      </w:r>
      <w:proofErr w:type="spellEnd"/>
      <w:r w:rsidRPr="00A34E01">
        <w:rPr>
          <w:rFonts w:ascii="Arial" w:hAnsi="Arial" w:cs="Arial"/>
          <w:color w:val="333333"/>
          <w:sz w:val="24"/>
          <w:szCs w:val="24"/>
        </w:rPr>
        <w:t xml:space="preserve"> при хроническом цистите </w:t>
      </w:r>
      <w:r w:rsidRPr="00A34E01">
        <w:rPr>
          <w:rFonts w:ascii="Arial" w:hAnsi="Arial" w:cs="Arial"/>
          <w:sz w:val="24"/>
          <w:szCs w:val="24"/>
        </w:rPr>
        <w:t>[</w:t>
      </w:r>
      <w:proofErr w:type="spellStart"/>
      <w:r w:rsidR="003B6D07" w:rsidRPr="00A34E01">
        <w:rPr>
          <w:rFonts w:ascii="Arial" w:hAnsi="Arial" w:cs="Arial"/>
          <w:sz w:val="24"/>
          <w:szCs w:val="24"/>
        </w:rPr>
        <w:t>Стрельцова</w:t>
      </w:r>
      <w:proofErr w:type="spellEnd"/>
      <w:r w:rsidR="003B6D07" w:rsidRPr="00A34E01">
        <w:rPr>
          <w:rFonts w:ascii="Arial" w:hAnsi="Arial" w:cs="Arial"/>
          <w:sz w:val="24"/>
          <w:szCs w:val="24"/>
        </w:rPr>
        <w:t xml:space="preserve"> О.С. и др., 2008</w:t>
      </w:r>
      <w:r w:rsidRPr="00A34E01">
        <w:rPr>
          <w:rFonts w:ascii="Arial" w:hAnsi="Arial" w:cs="Arial"/>
          <w:sz w:val="24"/>
          <w:szCs w:val="24"/>
        </w:rPr>
        <w:t xml:space="preserve">]. </w:t>
      </w:r>
      <w:r w:rsidRPr="00A34E01">
        <w:rPr>
          <w:rFonts w:ascii="Arial" w:hAnsi="Arial" w:cs="Arial"/>
          <w:color w:val="000000"/>
          <w:sz w:val="24"/>
          <w:szCs w:val="24"/>
        </w:rPr>
        <w:t xml:space="preserve">Клинические исследования эффективности </w:t>
      </w:r>
      <w:proofErr w:type="spellStart"/>
      <w:r w:rsidRPr="00A34E01">
        <w:rPr>
          <w:rFonts w:ascii="Arial" w:hAnsi="Arial" w:cs="Arial"/>
          <w:color w:val="000000"/>
          <w:sz w:val="24"/>
          <w:szCs w:val="24"/>
        </w:rPr>
        <w:t>тилорона</w:t>
      </w:r>
      <w:proofErr w:type="spellEnd"/>
      <w:r w:rsidRPr="00A34E01">
        <w:rPr>
          <w:rFonts w:ascii="Arial" w:hAnsi="Arial" w:cs="Arial"/>
          <w:color w:val="000000"/>
          <w:sz w:val="24"/>
          <w:szCs w:val="24"/>
        </w:rPr>
        <w:t xml:space="preserve"> с участием человека продемонстрировали значительное улучшение течения и исходов ОРВИ [</w:t>
      </w:r>
      <w:r w:rsidR="00EB41AB" w:rsidRPr="00A34E01">
        <w:rPr>
          <w:rFonts w:ascii="Arial" w:eastAsia="Times New Roman" w:hAnsi="Arial" w:cs="Arial"/>
          <w:color w:val="000000"/>
          <w:sz w:val="24"/>
          <w:szCs w:val="24"/>
          <w:lang w:eastAsia="ru-RU"/>
        </w:rPr>
        <w:t xml:space="preserve">Чижов Н.П. и др., 1990; Селькова Е.П. и др., 2001; Закиров И.Г., 2002; </w:t>
      </w:r>
      <w:r w:rsidR="003B6D07" w:rsidRPr="00A34E01">
        <w:rPr>
          <w:rFonts w:ascii="Arial" w:eastAsia="Times New Roman" w:hAnsi="Arial" w:cs="Arial"/>
          <w:color w:val="000000"/>
          <w:sz w:val="24"/>
          <w:szCs w:val="24"/>
          <w:lang w:val="en-US" w:eastAsia="ru-RU"/>
        </w:rPr>
        <w:t>Kaufman</w:t>
      </w:r>
      <w:r w:rsidR="003B6D07" w:rsidRPr="00A34E01">
        <w:rPr>
          <w:rFonts w:ascii="Arial" w:eastAsia="Times New Roman" w:hAnsi="Arial" w:cs="Arial"/>
          <w:color w:val="000000"/>
          <w:sz w:val="24"/>
          <w:szCs w:val="24"/>
          <w:lang w:eastAsia="ru-RU"/>
        </w:rPr>
        <w:t xml:space="preserve"> </w:t>
      </w:r>
      <w:r w:rsidR="003B6D07" w:rsidRPr="00A34E01">
        <w:rPr>
          <w:rFonts w:ascii="Arial" w:eastAsia="Times New Roman" w:hAnsi="Arial" w:cs="Arial"/>
          <w:color w:val="000000"/>
          <w:sz w:val="24"/>
          <w:szCs w:val="24"/>
          <w:lang w:val="en-US" w:eastAsia="ru-RU"/>
        </w:rPr>
        <w:t>H</w:t>
      </w:r>
      <w:r w:rsidR="003B6D07" w:rsidRPr="00A34E01">
        <w:rPr>
          <w:rFonts w:ascii="Arial" w:eastAsia="Times New Roman" w:hAnsi="Arial" w:cs="Arial"/>
          <w:color w:val="000000"/>
          <w:sz w:val="24"/>
          <w:szCs w:val="24"/>
          <w:lang w:eastAsia="ru-RU"/>
        </w:rPr>
        <w:t>.</w:t>
      </w:r>
      <w:r w:rsidR="003B6D07" w:rsidRPr="00A34E01">
        <w:rPr>
          <w:rFonts w:ascii="Arial" w:eastAsia="Times New Roman" w:hAnsi="Arial" w:cs="Arial"/>
          <w:color w:val="000000"/>
          <w:sz w:val="24"/>
          <w:szCs w:val="24"/>
          <w:lang w:val="en-US" w:eastAsia="ru-RU"/>
        </w:rPr>
        <w:t>E</w:t>
      </w:r>
      <w:r w:rsidR="00EB41AB" w:rsidRPr="00A34E01">
        <w:rPr>
          <w:rFonts w:ascii="Arial" w:eastAsia="Times New Roman" w:hAnsi="Arial" w:cs="Arial"/>
          <w:color w:val="000000"/>
          <w:sz w:val="24"/>
          <w:szCs w:val="24"/>
          <w:lang w:eastAsia="ru-RU"/>
        </w:rPr>
        <w:t xml:space="preserve">. </w:t>
      </w:r>
      <w:r w:rsidR="00EB41AB" w:rsidRPr="00A34E01">
        <w:rPr>
          <w:rFonts w:ascii="Arial" w:eastAsia="Times New Roman" w:hAnsi="Arial" w:cs="Arial"/>
          <w:color w:val="000000"/>
          <w:sz w:val="24"/>
          <w:szCs w:val="24"/>
          <w:lang w:val="en-US" w:eastAsia="ru-RU"/>
        </w:rPr>
        <w:t>et</w:t>
      </w:r>
      <w:r w:rsidR="00EB41AB" w:rsidRPr="00A34E01">
        <w:rPr>
          <w:rFonts w:ascii="Arial" w:eastAsia="Times New Roman" w:hAnsi="Arial" w:cs="Arial"/>
          <w:color w:val="000000"/>
          <w:sz w:val="24"/>
          <w:szCs w:val="24"/>
          <w:lang w:eastAsia="ru-RU"/>
        </w:rPr>
        <w:t xml:space="preserve"> </w:t>
      </w:r>
      <w:r w:rsidR="00EB41AB" w:rsidRPr="00A34E01">
        <w:rPr>
          <w:rFonts w:ascii="Arial" w:eastAsia="Times New Roman" w:hAnsi="Arial" w:cs="Arial"/>
          <w:color w:val="000000"/>
          <w:sz w:val="24"/>
          <w:szCs w:val="24"/>
          <w:lang w:val="en-US" w:eastAsia="ru-RU"/>
        </w:rPr>
        <w:t>al</w:t>
      </w:r>
      <w:r w:rsidR="00EB41AB" w:rsidRPr="00A34E01">
        <w:rPr>
          <w:rFonts w:ascii="Arial" w:eastAsia="Times New Roman" w:hAnsi="Arial" w:cs="Arial"/>
          <w:color w:val="000000"/>
          <w:sz w:val="24"/>
          <w:szCs w:val="24"/>
          <w:lang w:eastAsia="ru-RU"/>
        </w:rPr>
        <w:t xml:space="preserve">., 1971; </w:t>
      </w:r>
      <w:proofErr w:type="spellStart"/>
      <w:r w:rsidR="003B6D07" w:rsidRPr="00A34E01">
        <w:rPr>
          <w:rFonts w:ascii="Arial" w:eastAsia="Times New Roman" w:hAnsi="Arial" w:cs="Arial"/>
          <w:color w:val="000000"/>
          <w:sz w:val="24"/>
          <w:szCs w:val="24"/>
          <w:lang w:val="en-US" w:eastAsia="ru-RU"/>
        </w:rPr>
        <w:t>Semenenko</w:t>
      </w:r>
      <w:proofErr w:type="spellEnd"/>
      <w:r w:rsidR="003B6D07" w:rsidRPr="00A34E01">
        <w:rPr>
          <w:rFonts w:ascii="Arial" w:eastAsia="Times New Roman" w:hAnsi="Arial" w:cs="Arial"/>
          <w:color w:val="000000"/>
          <w:sz w:val="24"/>
          <w:szCs w:val="24"/>
          <w:lang w:eastAsia="ru-RU"/>
        </w:rPr>
        <w:t xml:space="preserve"> </w:t>
      </w:r>
      <w:r w:rsidR="003B6D07" w:rsidRPr="00A34E01">
        <w:rPr>
          <w:rFonts w:ascii="Arial" w:eastAsia="Times New Roman" w:hAnsi="Arial" w:cs="Arial"/>
          <w:color w:val="000000"/>
          <w:sz w:val="24"/>
          <w:szCs w:val="24"/>
          <w:lang w:val="en-US" w:eastAsia="ru-RU"/>
        </w:rPr>
        <w:t>T</w:t>
      </w:r>
      <w:r w:rsidR="003B6D07" w:rsidRPr="00A34E01">
        <w:rPr>
          <w:rFonts w:ascii="Arial" w:eastAsia="Times New Roman" w:hAnsi="Arial" w:cs="Arial"/>
          <w:color w:val="000000"/>
          <w:sz w:val="24"/>
          <w:szCs w:val="24"/>
          <w:lang w:eastAsia="ru-RU"/>
        </w:rPr>
        <w:t>.</w:t>
      </w:r>
      <w:r w:rsidR="003B6D07" w:rsidRPr="00A34E01">
        <w:rPr>
          <w:rFonts w:ascii="Arial" w:eastAsia="Times New Roman" w:hAnsi="Arial" w:cs="Arial"/>
          <w:color w:val="000000"/>
          <w:sz w:val="24"/>
          <w:szCs w:val="24"/>
          <w:lang w:val="en-US" w:eastAsia="ru-RU"/>
        </w:rPr>
        <w:t>A</w:t>
      </w:r>
      <w:r w:rsidR="00EB41AB" w:rsidRPr="00A34E01">
        <w:rPr>
          <w:rFonts w:ascii="Arial" w:eastAsia="Times New Roman" w:hAnsi="Arial" w:cs="Arial"/>
          <w:color w:val="000000"/>
          <w:sz w:val="24"/>
          <w:szCs w:val="24"/>
          <w:lang w:eastAsia="ru-RU"/>
        </w:rPr>
        <w:t xml:space="preserve">. </w:t>
      </w:r>
      <w:r w:rsidR="00EB41AB" w:rsidRPr="00A34E01">
        <w:rPr>
          <w:rFonts w:ascii="Arial" w:eastAsia="Times New Roman" w:hAnsi="Arial" w:cs="Arial"/>
          <w:color w:val="000000"/>
          <w:sz w:val="24"/>
          <w:szCs w:val="24"/>
          <w:lang w:val="en-US" w:eastAsia="ru-RU"/>
        </w:rPr>
        <w:t>et</w:t>
      </w:r>
      <w:r w:rsidR="00EB41AB" w:rsidRPr="00A34E01">
        <w:rPr>
          <w:rFonts w:ascii="Arial" w:eastAsia="Times New Roman" w:hAnsi="Arial" w:cs="Arial"/>
          <w:color w:val="000000"/>
          <w:sz w:val="24"/>
          <w:szCs w:val="24"/>
          <w:lang w:eastAsia="ru-RU"/>
        </w:rPr>
        <w:t xml:space="preserve"> </w:t>
      </w:r>
      <w:r w:rsidR="00EB41AB" w:rsidRPr="00A34E01">
        <w:rPr>
          <w:rFonts w:ascii="Arial" w:eastAsia="Times New Roman" w:hAnsi="Arial" w:cs="Arial"/>
          <w:color w:val="000000"/>
          <w:sz w:val="24"/>
          <w:szCs w:val="24"/>
          <w:lang w:val="en-US" w:eastAsia="ru-RU"/>
        </w:rPr>
        <w:t>al</w:t>
      </w:r>
      <w:r w:rsidR="00EB41AB" w:rsidRPr="00A34E01">
        <w:rPr>
          <w:rFonts w:ascii="Arial" w:eastAsia="Times New Roman" w:hAnsi="Arial" w:cs="Arial"/>
          <w:color w:val="000000"/>
          <w:sz w:val="24"/>
          <w:szCs w:val="24"/>
          <w:lang w:eastAsia="ru-RU"/>
        </w:rPr>
        <w:t>., 2002</w:t>
      </w:r>
      <w:r w:rsidRPr="00A34E01">
        <w:rPr>
          <w:rFonts w:ascii="Arial" w:eastAsia="Times New Roman" w:hAnsi="Arial" w:cs="Arial"/>
          <w:color w:val="000000"/>
          <w:sz w:val="24"/>
          <w:szCs w:val="24"/>
          <w:lang w:eastAsia="ru-RU"/>
        </w:rPr>
        <w:t>].</w:t>
      </w:r>
      <w:r w:rsidR="00E7469B" w:rsidRPr="00A34E01">
        <w:rPr>
          <w:rFonts w:ascii="Arial" w:eastAsia="Times New Roman" w:hAnsi="Arial" w:cs="Arial"/>
          <w:color w:val="000000"/>
          <w:sz w:val="24"/>
          <w:szCs w:val="24"/>
          <w:lang w:eastAsia="ru-RU"/>
        </w:rPr>
        <w:t xml:space="preserve"> </w:t>
      </w:r>
      <w:r w:rsidRPr="00A34E01">
        <w:rPr>
          <w:rFonts w:ascii="Arial" w:hAnsi="Arial" w:cs="Arial"/>
          <w:sz w:val="24"/>
          <w:szCs w:val="24"/>
        </w:rPr>
        <w:t xml:space="preserve">В процессе применения </w:t>
      </w:r>
      <w:proofErr w:type="spellStart"/>
      <w:r w:rsidRPr="00A34E01">
        <w:rPr>
          <w:rFonts w:ascii="Arial" w:hAnsi="Arial" w:cs="Arial"/>
          <w:sz w:val="24"/>
          <w:szCs w:val="24"/>
        </w:rPr>
        <w:t>тилорона</w:t>
      </w:r>
      <w:proofErr w:type="spellEnd"/>
      <w:r w:rsidRPr="00A34E01">
        <w:rPr>
          <w:rFonts w:ascii="Arial" w:hAnsi="Arial" w:cs="Arial"/>
          <w:sz w:val="24"/>
          <w:szCs w:val="24"/>
        </w:rPr>
        <w:t>, как правило, не наблюдается аллергических реакций или других токсических эффектов, при этом отмечается его совместимость с антибиотиками и средствами традиционного лечения вирусных и бактериальных инфекций [</w:t>
      </w:r>
      <w:r w:rsidR="00EB41AB" w:rsidRPr="00A34E01">
        <w:rPr>
          <w:rFonts w:ascii="Arial" w:hAnsi="Arial" w:cs="Arial"/>
          <w:sz w:val="24"/>
          <w:szCs w:val="24"/>
        </w:rPr>
        <w:t>Лыткина И.Н. и др., 2010</w:t>
      </w:r>
      <w:r w:rsidRPr="00A34E01">
        <w:rPr>
          <w:rFonts w:ascii="Arial" w:hAnsi="Arial" w:cs="Arial"/>
          <w:sz w:val="24"/>
          <w:szCs w:val="24"/>
        </w:rPr>
        <w:t xml:space="preserve">]. </w:t>
      </w:r>
      <w:r w:rsidRPr="00A34E01">
        <w:rPr>
          <w:rFonts w:ascii="Arial" w:hAnsi="Arial" w:cs="Arial"/>
          <w:color w:val="333333"/>
          <w:sz w:val="24"/>
          <w:szCs w:val="24"/>
        </w:rPr>
        <w:t xml:space="preserve">В периоды сезонного роста заболеваемости респираторными инфекциями </w:t>
      </w:r>
      <w:proofErr w:type="spellStart"/>
      <w:r w:rsidRPr="00A34E01">
        <w:rPr>
          <w:rFonts w:ascii="Arial" w:hAnsi="Arial" w:cs="Arial"/>
          <w:color w:val="333333"/>
          <w:sz w:val="24"/>
          <w:szCs w:val="24"/>
        </w:rPr>
        <w:t>тилорон</w:t>
      </w:r>
      <w:proofErr w:type="spellEnd"/>
      <w:r w:rsidRPr="00A34E01">
        <w:rPr>
          <w:rFonts w:ascii="Arial" w:hAnsi="Arial" w:cs="Arial"/>
          <w:color w:val="333333"/>
          <w:sz w:val="24"/>
          <w:szCs w:val="24"/>
        </w:rPr>
        <w:t xml:space="preserve"> был неоднократно протестирован в качестве профилактического средства в крупных когортах, включая организованные коллективы. Авторы этих исследований констатировали значительное уменьшение риска возникновения гриппа и других ОРВИ по сравнению с группами контроля </w:t>
      </w:r>
      <w:r w:rsidRPr="00A34E01">
        <w:rPr>
          <w:rFonts w:ascii="Arial" w:hAnsi="Arial" w:cs="Arial"/>
          <w:sz w:val="24"/>
          <w:szCs w:val="24"/>
        </w:rPr>
        <w:t>[</w:t>
      </w:r>
      <w:proofErr w:type="spellStart"/>
      <w:r w:rsidR="00EB41AB" w:rsidRPr="00A34E01">
        <w:rPr>
          <w:rFonts w:ascii="Arial" w:hAnsi="Arial" w:cs="Arial"/>
          <w:sz w:val="24"/>
          <w:szCs w:val="24"/>
        </w:rPr>
        <w:t>Андронати</w:t>
      </w:r>
      <w:proofErr w:type="spellEnd"/>
      <w:r w:rsidR="00EB41AB" w:rsidRPr="00A34E01">
        <w:rPr>
          <w:rFonts w:ascii="Arial" w:hAnsi="Arial" w:cs="Arial"/>
          <w:sz w:val="24"/>
          <w:szCs w:val="24"/>
        </w:rPr>
        <w:t xml:space="preserve"> С.А. и др., 1999; </w:t>
      </w:r>
      <w:r w:rsidR="00EB41AB" w:rsidRPr="00A34E01">
        <w:rPr>
          <w:rFonts w:ascii="Arial" w:eastAsia="Times New Roman" w:hAnsi="Arial" w:cs="Arial"/>
          <w:color w:val="000000"/>
          <w:sz w:val="24"/>
          <w:szCs w:val="24"/>
          <w:lang w:eastAsia="ru-RU"/>
        </w:rPr>
        <w:t>Селькова Е.П. и др., 2001</w:t>
      </w:r>
      <w:r w:rsidRPr="00A34E01">
        <w:rPr>
          <w:rFonts w:ascii="Arial" w:hAnsi="Arial" w:cs="Arial"/>
          <w:sz w:val="24"/>
          <w:szCs w:val="24"/>
        </w:rPr>
        <w:t>].</w:t>
      </w:r>
    </w:p>
    <w:p w:rsidR="00884538" w:rsidRPr="00A34E01" w:rsidRDefault="00884538" w:rsidP="00A34E01">
      <w:pPr>
        <w:spacing w:after="0" w:line="360" w:lineRule="auto"/>
        <w:ind w:firstLine="567"/>
        <w:jc w:val="both"/>
        <w:rPr>
          <w:rFonts w:ascii="Arial" w:hAnsi="Arial" w:cs="Arial"/>
          <w:sz w:val="24"/>
          <w:szCs w:val="24"/>
        </w:rPr>
      </w:pPr>
      <w:r w:rsidRPr="00A34E01">
        <w:rPr>
          <w:rFonts w:ascii="Arial" w:hAnsi="Arial" w:cs="Arial"/>
          <w:b/>
          <w:sz w:val="24"/>
          <w:szCs w:val="24"/>
        </w:rPr>
        <w:t xml:space="preserve">Заключение. </w:t>
      </w:r>
      <w:r w:rsidRPr="00A34E01">
        <w:rPr>
          <w:rFonts w:ascii="Arial" w:hAnsi="Arial" w:cs="Arial"/>
          <w:sz w:val="24"/>
          <w:szCs w:val="24"/>
        </w:rPr>
        <w:t xml:space="preserve">К настоящему времени накоплен достаточно большой клинический </w:t>
      </w:r>
      <w:r w:rsidR="003734F9">
        <w:rPr>
          <w:rFonts w:ascii="Arial" w:hAnsi="Arial" w:cs="Arial"/>
          <w:color w:val="000000"/>
          <w:sz w:val="24"/>
          <w:szCs w:val="24"/>
        </w:rPr>
        <w:t xml:space="preserve">опыт безопасного использования </w:t>
      </w:r>
      <w:proofErr w:type="spellStart"/>
      <w:r w:rsidR="003734F9">
        <w:rPr>
          <w:rFonts w:ascii="Arial" w:hAnsi="Arial" w:cs="Arial"/>
          <w:color w:val="000000"/>
          <w:sz w:val="24"/>
          <w:szCs w:val="24"/>
        </w:rPr>
        <w:t>Т</w:t>
      </w:r>
      <w:r w:rsidRPr="00A34E01">
        <w:rPr>
          <w:rFonts w:ascii="Arial" w:hAnsi="Arial" w:cs="Arial"/>
          <w:color w:val="000000"/>
          <w:sz w:val="24"/>
          <w:szCs w:val="24"/>
        </w:rPr>
        <w:t>илорона</w:t>
      </w:r>
      <w:proofErr w:type="spellEnd"/>
      <w:r w:rsidR="003734F9">
        <w:rPr>
          <w:rFonts w:ascii="Arial" w:hAnsi="Arial" w:cs="Arial"/>
          <w:color w:val="000000"/>
          <w:sz w:val="24"/>
          <w:szCs w:val="24"/>
        </w:rPr>
        <w:t>-СЗ</w:t>
      </w:r>
      <w:r w:rsidRPr="00A34E01">
        <w:rPr>
          <w:rFonts w:ascii="Arial" w:hAnsi="Arial" w:cs="Arial"/>
          <w:color w:val="000000"/>
          <w:sz w:val="24"/>
          <w:szCs w:val="24"/>
        </w:rPr>
        <w:t xml:space="preserve"> в качестве средства лечения и профилактики вирусных заболеваний. В новых реалиях, с учётом известной </w:t>
      </w:r>
      <w:proofErr w:type="spellStart"/>
      <w:r w:rsidRPr="00A34E01">
        <w:rPr>
          <w:rFonts w:ascii="Arial" w:hAnsi="Arial" w:cs="Arial"/>
          <w:color w:val="000000"/>
          <w:sz w:val="24"/>
          <w:szCs w:val="24"/>
        </w:rPr>
        <w:t>тропности</w:t>
      </w:r>
      <w:proofErr w:type="spellEnd"/>
      <w:r w:rsidRPr="00A34E01">
        <w:rPr>
          <w:rFonts w:ascii="Arial" w:hAnsi="Arial" w:cs="Arial"/>
          <w:color w:val="000000"/>
          <w:sz w:val="24"/>
          <w:szCs w:val="24"/>
        </w:rPr>
        <w:t xml:space="preserve"> данного препарата преимущественно к РНК-содержащим вирусам, важно продолжение соответствующих исследований. В рамках ретроспективного анализа собственной базы данных, нами установлено, что в</w:t>
      </w:r>
      <w:r w:rsidR="003734F9">
        <w:rPr>
          <w:rFonts w:ascii="Arial" w:hAnsi="Arial" w:cs="Arial"/>
          <w:sz w:val="24"/>
          <w:szCs w:val="24"/>
        </w:rPr>
        <w:t xml:space="preserve">ключение </w:t>
      </w:r>
      <w:proofErr w:type="spellStart"/>
      <w:r w:rsidR="003734F9">
        <w:rPr>
          <w:rFonts w:ascii="Arial" w:hAnsi="Arial" w:cs="Arial"/>
          <w:sz w:val="24"/>
          <w:szCs w:val="24"/>
        </w:rPr>
        <w:t>Т</w:t>
      </w:r>
      <w:r w:rsidRPr="00A34E01">
        <w:rPr>
          <w:rFonts w:ascii="Arial" w:hAnsi="Arial" w:cs="Arial"/>
          <w:sz w:val="24"/>
          <w:szCs w:val="24"/>
        </w:rPr>
        <w:t>илорона</w:t>
      </w:r>
      <w:proofErr w:type="spellEnd"/>
      <w:r w:rsidR="003734F9">
        <w:rPr>
          <w:rFonts w:ascii="Arial" w:hAnsi="Arial" w:cs="Arial"/>
          <w:sz w:val="24"/>
          <w:szCs w:val="24"/>
        </w:rPr>
        <w:t>-СЗ</w:t>
      </w:r>
      <w:r w:rsidRPr="00A34E01">
        <w:rPr>
          <w:rFonts w:ascii="Arial" w:hAnsi="Arial" w:cs="Arial"/>
          <w:sz w:val="24"/>
          <w:szCs w:val="24"/>
        </w:rPr>
        <w:t xml:space="preserve"> в схему комплексной терапии острой респираторной </w:t>
      </w:r>
      <w:r w:rsidRPr="00A34E01">
        <w:rPr>
          <w:rFonts w:ascii="Arial" w:hAnsi="Arial" w:cs="Arial"/>
          <w:sz w:val="24"/>
          <w:szCs w:val="24"/>
          <w:lang w:val="en-US"/>
        </w:rPr>
        <w:t>SARS</w:t>
      </w:r>
      <w:r w:rsidRPr="00A34E01">
        <w:rPr>
          <w:rFonts w:ascii="Arial" w:hAnsi="Arial" w:cs="Arial"/>
          <w:sz w:val="24"/>
          <w:szCs w:val="24"/>
        </w:rPr>
        <w:t>-</w:t>
      </w:r>
      <w:proofErr w:type="spellStart"/>
      <w:r w:rsidRPr="00A34E01">
        <w:rPr>
          <w:rFonts w:ascii="Arial" w:hAnsi="Arial" w:cs="Arial"/>
          <w:sz w:val="24"/>
          <w:szCs w:val="24"/>
          <w:lang w:val="en-US"/>
        </w:rPr>
        <w:t>CoV</w:t>
      </w:r>
      <w:proofErr w:type="spellEnd"/>
      <w:r w:rsidRPr="00A34E01">
        <w:rPr>
          <w:rFonts w:ascii="Arial" w:hAnsi="Arial" w:cs="Arial"/>
          <w:sz w:val="24"/>
          <w:szCs w:val="24"/>
        </w:rPr>
        <w:t xml:space="preserve">-2-инфекции лёгкой и средней степени тяжести сопровождается более выраженным приростом содержания в крови лейкоцитов, лимфоцитов, тромбоцитов (не выходящим за </w:t>
      </w:r>
      <w:proofErr w:type="spellStart"/>
      <w:r w:rsidRPr="00A34E01">
        <w:rPr>
          <w:rFonts w:ascii="Arial" w:hAnsi="Arial" w:cs="Arial"/>
          <w:sz w:val="24"/>
          <w:szCs w:val="24"/>
        </w:rPr>
        <w:t>референсные</w:t>
      </w:r>
      <w:proofErr w:type="spellEnd"/>
      <w:r w:rsidRPr="00A34E01">
        <w:rPr>
          <w:rFonts w:ascii="Arial" w:hAnsi="Arial" w:cs="Arial"/>
          <w:sz w:val="24"/>
          <w:szCs w:val="24"/>
        </w:rPr>
        <w:t xml:space="preserve"> границы значений), более значимым снижением уровня </w:t>
      </w:r>
      <w:proofErr w:type="spellStart"/>
      <w:r w:rsidRPr="00A34E01">
        <w:rPr>
          <w:rFonts w:ascii="Arial" w:hAnsi="Arial" w:cs="Arial"/>
          <w:sz w:val="24"/>
          <w:szCs w:val="24"/>
        </w:rPr>
        <w:t>лактатдегидрогеназы</w:t>
      </w:r>
      <w:proofErr w:type="spellEnd"/>
      <w:r w:rsidRPr="00A34E01">
        <w:rPr>
          <w:rFonts w:ascii="Arial" w:hAnsi="Arial" w:cs="Arial"/>
          <w:sz w:val="24"/>
          <w:szCs w:val="24"/>
        </w:rPr>
        <w:t xml:space="preserve"> к исходу второй недели активного лечения заболевания. Наря</w:t>
      </w:r>
      <w:r w:rsidR="003734F9">
        <w:rPr>
          <w:rFonts w:ascii="Arial" w:hAnsi="Arial" w:cs="Arial"/>
          <w:sz w:val="24"/>
          <w:szCs w:val="24"/>
        </w:rPr>
        <w:t xml:space="preserve">ду с этим, терапия, включающая </w:t>
      </w:r>
      <w:proofErr w:type="spellStart"/>
      <w:r w:rsidR="003734F9">
        <w:rPr>
          <w:rFonts w:ascii="Arial" w:hAnsi="Arial" w:cs="Arial"/>
          <w:sz w:val="24"/>
          <w:szCs w:val="24"/>
        </w:rPr>
        <w:t>Т</w:t>
      </w:r>
      <w:r w:rsidRPr="00A34E01">
        <w:rPr>
          <w:rFonts w:ascii="Arial" w:hAnsi="Arial" w:cs="Arial"/>
          <w:sz w:val="24"/>
          <w:szCs w:val="24"/>
        </w:rPr>
        <w:t>илорон</w:t>
      </w:r>
      <w:proofErr w:type="spellEnd"/>
      <w:r w:rsidR="003734F9">
        <w:rPr>
          <w:rFonts w:ascii="Arial" w:hAnsi="Arial" w:cs="Arial"/>
          <w:sz w:val="24"/>
          <w:szCs w:val="24"/>
        </w:rPr>
        <w:t>-СЗ</w:t>
      </w:r>
      <w:r w:rsidRPr="00A34E01">
        <w:rPr>
          <w:rFonts w:ascii="Arial" w:hAnsi="Arial" w:cs="Arial"/>
          <w:sz w:val="24"/>
          <w:szCs w:val="24"/>
        </w:rPr>
        <w:t xml:space="preserve">, ассоциируется с аналогичной по степени выраженности редукцией уровня С-реактивного белка и высокочувствительного </w:t>
      </w:r>
      <w:proofErr w:type="spellStart"/>
      <w:r w:rsidRPr="00A34E01">
        <w:rPr>
          <w:rFonts w:ascii="Arial" w:hAnsi="Arial" w:cs="Arial"/>
          <w:sz w:val="24"/>
          <w:szCs w:val="24"/>
        </w:rPr>
        <w:t>тропонина</w:t>
      </w:r>
      <w:proofErr w:type="spellEnd"/>
      <w:r w:rsidRPr="00A34E01">
        <w:rPr>
          <w:rFonts w:ascii="Arial" w:hAnsi="Arial" w:cs="Arial"/>
          <w:sz w:val="24"/>
          <w:szCs w:val="24"/>
        </w:rPr>
        <w:t xml:space="preserve"> (в пределах его </w:t>
      </w:r>
      <w:proofErr w:type="spellStart"/>
      <w:r w:rsidRPr="00A34E01">
        <w:rPr>
          <w:rFonts w:ascii="Arial" w:hAnsi="Arial" w:cs="Arial"/>
          <w:sz w:val="24"/>
          <w:szCs w:val="24"/>
        </w:rPr>
        <w:t>референсного</w:t>
      </w:r>
      <w:proofErr w:type="spellEnd"/>
      <w:r w:rsidRPr="00A34E01">
        <w:rPr>
          <w:rFonts w:ascii="Arial" w:hAnsi="Arial" w:cs="Arial"/>
          <w:sz w:val="24"/>
          <w:szCs w:val="24"/>
        </w:rPr>
        <w:t xml:space="preserve"> диапазона значений).</w:t>
      </w:r>
    </w:p>
    <w:p w:rsidR="00884538" w:rsidRPr="00A34E01" w:rsidRDefault="00884538" w:rsidP="00A34E01">
      <w:pPr>
        <w:spacing w:after="0" w:line="360" w:lineRule="auto"/>
        <w:rPr>
          <w:rFonts w:ascii="Arial" w:hAnsi="Arial" w:cs="Arial"/>
          <w:b/>
          <w:sz w:val="24"/>
          <w:szCs w:val="24"/>
        </w:rPr>
      </w:pPr>
    </w:p>
    <w:p w:rsidR="00884538" w:rsidRPr="00A34E01" w:rsidRDefault="00884538" w:rsidP="00A34E01">
      <w:pPr>
        <w:spacing w:after="0" w:line="360" w:lineRule="auto"/>
        <w:ind w:firstLine="567"/>
        <w:jc w:val="both"/>
        <w:rPr>
          <w:rFonts w:ascii="Arial" w:hAnsi="Arial" w:cs="Arial"/>
          <w:b/>
          <w:bCs/>
          <w:sz w:val="24"/>
          <w:szCs w:val="24"/>
          <w:lang w:val="en-US"/>
        </w:rPr>
      </w:pPr>
      <w:r w:rsidRPr="00A34E01">
        <w:rPr>
          <w:rFonts w:ascii="Arial" w:hAnsi="Arial" w:cs="Arial"/>
          <w:b/>
          <w:bCs/>
          <w:sz w:val="24"/>
          <w:szCs w:val="24"/>
        </w:rPr>
        <w:lastRenderedPageBreak/>
        <w:t>СПИСОК</w:t>
      </w:r>
      <w:r w:rsidRPr="00A34E01">
        <w:rPr>
          <w:rFonts w:ascii="Arial" w:hAnsi="Arial" w:cs="Arial"/>
          <w:b/>
          <w:bCs/>
          <w:sz w:val="24"/>
          <w:szCs w:val="24"/>
          <w:lang w:val="en-US"/>
        </w:rPr>
        <w:t xml:space="preserve"> </w:t>
      </w:r>
      <w:r w:rsidRPr="00A34E01">
        <w:rPr>
          <w:rFonts w:ascii="Arial" w:hAnsi="Arial" w:cs="Arial"/>
          <w:b/>
          <w:bCs/>
          <w:sz w:val="24"/>
          <w:szCs w:val="24"/>
        </w:rPr>
        <w:t>ЛИТЕРАТУРЫ</w:t>
      </w:r>
    </w:p>
    <w:p w:rsidR="00EB41AB" w:rsidRPr="00A34E01" w:rsidRDefault="00EB41AB" w:rsidP="00A34E01">
      <w:pPr>
        <w:pStyle w:val="a7"/>
        <w:numPr>
          <w:ilvl w:val="0"/>
          <w:numId w:val="2"/>
        </w:numPr>
        <w:spacing w:after="0" w:line="360" w:lineRule="auto"/>
        <w:ind w:left="0" w:firstLine="0"/>
        <w:jc w:val="both"/>
        <w:rPr>
          <w:rFonts w:ascii="Arial" w:hAnsi="Arial" w:cs="Arial"/>
          <w:color w:val="000000" w:themeColor="text1"/>
          <w:sz w:val="24"/>
          <w:szCs w:val="24"/>
          <w:shd w:val="clear" w:color="auto" w:fill="FFFFFF"/>
          <w:lang w:val="en-US"/>
        </w:rPr>
      </w:pPr>
      <w:proofErr w:type="spellStart"/>
      <w:r w:rsidRPr="00A34E01">
        <w:rPr>
          <w:rFonts w:ascii="Arial" w:hAnsi="Arial" w:cs="Arial"/>
          <w:color w:val="000000" w:themeColor="text1"/>
          <w:sz w:val="24"/>
          <w:szCs w:val="24"/>
          <w:shd w:val="clear" w:color="auto" w:fill="FFFFFF"/>
        </w:rPr>
        <w:t>Абидов</w:t>
      </w:r>
      <w:proofErr w:type="spellEnd"/>
      <w:r w:rsidRPr="00A34E01">
        <w:rPr>
          <w:rFonts w:ascii="Arial" w:hAnsi="Arial" w:cs="Arial"/>
          <w:color w:val="000000" w:themeColor="text1"/>
          <w:sz w:val="24"/>
          <w:szCs w:val="24"/>
          <w:shd w:val="clear" w:color="auto" w:fill="FFFFFF"/>
        </w:rPr>
        <w:t xml:space="preserve"> М.Т., </w:t>
      </w:r>
      <w:proofErr w:type="spellStart"/>
      <w:r w:rsidRPr="00A34E01">
        <w:rPr>
          <w:rFonts w:ascii="Arial" w:hAnsi="Arial" w:cs="Arial"/>
          <w:color w:val="000000" w:themeColor="text1"/>
          <w:sz w:val="24"/>
          <w:szCs w:val="24"/>
          <w:shd w:val="clear" w:color="auto" w:fill="FFFFFF"/>
        </w:rPr>
        <w:t>Калюжин</w:t>
      </w:r>
      <w:proofErr w:type="spellEnd"/>
      <w:r w:rsidRPr="00A34E01">
        <w:rPr>
          <w:rFonts w:ascii="Arial" w:hAnsi="Arial" w:cs="Arial"/>
          <w:color w:val="000000" w:themeColor="text1"/>
          <w:sz w:val="24"/>
          <w:szCs w:val="24"/>
          <w:shd w:val="clear" w:color="auto" w:fill="FFFFFF"/>
        </w:rPr>
        <w:t xml:space="preserve"> О.В., Нелюбов М.В. Иммунотерапия острых и хронических воспалительных заболеваний. </w:t>
      </w:r>
      <w:proofErr w:type="spellStart"/>
      <w:r w:rsidR="00A34E01" w:rsidRPr="00A34E01">
        <w:rPr>
          <w:rFonts w:ascii="Arial" w:hAnsi="Arial" w:cs="Arial"/>
          <w:color w:val="000000" w:themeColor="text1"/>
          <w:sz w:val="24"/>
          <w:szCs w:val="24"/>
          <w:shd w:val="clear" w:color="auto" w:fill="FFFFFF"/>
          <w:lang w:val="en-US"/>
        </w:rPr>
        <w:t>Tera</w:t>
      </w:r>
      <w:proofErr w:type="spellEnd"/>
      <w:r w:rsidR="00A34E01" w:rsidRPr="00A34E01">
        <w:rPr>
          <w:rFonts w:ascii="Arial" w:hAnsi="Arial" w:cs="Arial"/>
          <w:color w:val="000000" w:themeColor="text1"/>
          <w:sz w:val="24"/>
          <w:szCs w:val="24"/>
          <w:shd w:val="clear" w:color="auto" w:fill="FFFFFF"/>
          <w:lang w:val="en-US"/>
        </w:rPr>
        <w:t xml:space="preserve"> </w:t>
      </w:r>
      <w:proofErr w:type="spellStart"/>
      <w:r w:rsidR="00A34E01" w:rsidRPr="00A34E01">
        <w:rPr>
          <w:rFonts w:ascii="Arial" w:hAnsi="Arial" w:cs="Arial"/>
          <w:color w:val="000000" w:themeColor="text1"/>
          <w:sz w:val="24"/>
          <w:szCs w:val="24"/>
          <w:shd w:val="clear" w:color="auto" w:fill="FFFFFF"/>
          <w:lang w:val="en-US"/>
        </w:rPr>
        <w:t>Medica</w:t>
      </w:r>
      <w:proofErr w:type="spellEnd"/>
      <w:r w:rsidR="00A34E01" w:rsidRPr="00A34E01">
        <w:rPr>
          <w:rFonts w:ascii="Arial" w:hAnsi="Arial" w:cs="Arial"/>
          <w:color w:val="000000" w:themeColor="text1"/>
          <w:sz w:val="24"/>
          <w:szCs w:val="24"/>
          <w:shd w:val="clear" w:color="auto" w:fill="FFFFFF"/>
          <w:lang w:val="en-US"/>
        </w:rPr>
        <w:t xml:space="preserve"> Nova</w:t>
      </w:r>
      <w:r w:rsidRPr="00A34E01">
        <w:rPr>
          <w:rFonts w:ascii="Arial" w:hAnsi="Arial" w:cs="Arial"/>
          <w:color w:val="000000" w:themeColor="text1"/>
          <w:sz w:val="24"/>
          <w:szCs w:val="24"/>
          <w:shd w:val="clear" w:color="auto" w:fill="FFFFFF"/>
          <w:lang w:val="en-US"/>
        </w:rPr>
        <w:t xml:space="preserve"> 2001; (2): 3–7.</w:t>
      </w:r>
    </w:p>
    <w:p w:rsidR="00CC1689" w:rsidRPr="00A34E01" w:rsidRDefault="00CC1689" w:rsidP="00A34E01">
      <w:pPr>
        <w:pStyle w:val="a7"/>
        <w:numPr>
          <w:ilvl w:val="0"/>
          <w:numId w:val="2"/>
        </w:numPr>
        <w:spacing w:after="0" w:line="360" w:lineRule="auto"/>
        <w:ind w:left="0" w:firstLine="0"/>
        <w:jc w:val="both"/>
        <w:rPr>
          <w:rFonts w:ascii="Arial" w:hAnsi="Arial" w:cs="Arial"/>
          <w:color w:val="000000" w:themeColor="text1"/>
          <w:sz w:val="24"/>
          <w:szCs w:val="24"/>
          <w:shd w:val="clear" w:color="auto" w:fill="FFFFFF"/>
        </w:rPr>
      </w:pPr>
      <w:proofErr w:type="spellStart"/>
      <w:r w:rsidRPr="00A34E01">
        <w:rPr>
          <w:rFonts w:ascii="Arial" w:hAnsi="Arial" w:cs="Arial"/>
          <w:color w:val="000000" w:themeColor="text1"/>
          <w:sz w:val="24"/>
          <w:szCs w:val="24"/>
          <w:shd w:val="clear" w:color="auto" w:fill="FFFFFF"/>
        </w:rPr>
        <w:t>Абидов</w:t>
      </w:r>
      <w:proofErr w:type="spellEnd"/>
      <w:r w:rsidRPr="00A34E01">
        <w:rPr>
          <w:rFonts w:ascii="Arial" w:hAnsi="Arial" w:cs="Arial"/>
          <w:color w:val="000000" w:themeColor="text1"/>
          <w:sz w:val="24"/>
          <w:szCs w:val="24"/>
          <w:shd w:val="clear" w:color="auto" w:fill="FFFFFF"/>
        </w:rPr>
        <w:t xml:space="preserve"> М. Т., </w:t>
      </w:r>
      <w:proofErr w:type="spellStart"/>
      <w:r w:rsidRPr="00A34E01">
        <w:rPr>
          <w:rFonts w:ascii="Arial" w:hAnsi="Arial" w:cs="Arial"/>
          <w:color w:val="000000" w:themeColor="text1"/>
          <w:sz w:val="24"/>
          <w:szCs w:val="24"/>
          <w:shd w:val="clear" w:color="auto" w:fill="FFFFFF"/>
        </w:rPr>
        <w:t>Баштаненко</w:t>
      </w:r>
      <w:proofErr w:type="spellEnd"/>
      <w:r w:rsidRPr="00A34E01">
        <w:rPr>
          <w:rFonts w:ascii="Arial" w:hAnsi="Arial" w:cs="Arial"/>
          <w:color w:val="000000" w:themeColor="text1"/>
          <w:sz w:val="24"/>
          <w:szCs w:val="24"/>
          <w:shd w:val="clear" w:color="auto" w:fill="FFFFFF"/>
        </w:rPr>
        <w:t xml:space="preserve"> А. Ф., Нелюбов М. В., </w:t>
      </w:r>
      <w:proofErr w:type="spellStart"/>
      <w:r w:rsidRPr="00A34E01">
        <w:rPr>
          <w:rFonts w:ascii="Arial" w:hAnsi="Arial" w:cs="Arial"/>
          <w:color w:val="000000" w:themeColor="text1"/>
          <w:sz w:val="24"/>
          <w:szCs w:val="24"/>
          <w:shd w:val="clear" w:color="auto" w:fill="FFFFFF"/>
        </w:rPr>
        <w:t>Шкалев</w:t>
      </w:r>
      <w:proofErr w:type="spellEnd"/>
      <w:r w:rsidRPr="00A34E01">
        <w:rPr>
          <w:rFonts w:ascii="Arial" w:hAnsi="Arial" w:cs="Arial"/>
          <w:color w:val="000000" w:themeColor="text1"/>
          <w:sz w:val="24"/>
          <w:szCs w:val="24"/>
          <w:shd w:val="clear" w:color="auto" w:fill="FFFFFF"/>
        </w:rPr>
        <w:t xml:space="preserve"> М.В., Ковалевская Е.О., </w:t>
      </w:r>
      <w:proofErr w:type="spellStart"/>
      <w:r w:rsidRPr="00A34E01">
        <w:rPr>
          <w:rFonts w:ascii="Arial" w:hAnsi="Arial" w:cs="Arial"/>
          <w:color w:val="000000" w:themeColor="text1"/>
          <w:sz w:val="24"/>
          <w:szCs w:val="24"/>
          <w:shd w:val="clear" w:color="auto" w:fill="FFFFFF"/>
        </w:rPr>
        <w:t>Калюжин</w:t>
      </w:r>
      <w:proofErr w:type="spellEnd"/>
      <w:r w:rsidRPr="00A34E01">
        <w:rPr>
          <w:rFonts w:ascii="Arial" w:hAnsi="Arial" w:cs="Arial"/>
          <w:color w:val="000000" w:themeColor="text1"/>
          <w:sz w:val="24"/>
          <w:szCs w:val="24"/>
          <w:shd w:val="clear" w:color="auto" w:fill="FFFFFF"/>
        </w:rPr>
        <w:t xml:space="preserve"> О. В. Регуляция иммунных реакций в лечении хронических и острых воспалительных заболеваний. Якутский</w:t>
      </w:r>
      <w:r w:rsidRPr="00A34E01">
        <w:rPr>
          <w:rFonts w:ascii="Arial" w:hAnsi="Arial" w:cs="Arial"/>
          <w:color w:val="000000" w:themeColor="text1"/>
          <w:sz w:val="24"/>
          <w:szCs w:val="24"/>
          <w:shd w:val="clear" w:color="auto" w:fill="FFFFFF"/>
          <w:lang w:val="en-US"/>
        </w:rPr>
        <w:t xml:space="preserve"> </w:t>
      </w:r>
      <w:r w:rsidRPr="00A34E01">
        <w:rPr>
          <w:rFonts w:ascii="Arial" w:hAnsi="Arial" w:cs="Arial"/>
          <w:color w:val="000000" w:themeColor="text1"/>
          <w:sz w:val="24"/>
          <w:szCs w:val="24"/>
          <w:shd w:val="clear" w:color="auto" w:fill="FFFFFF"/>
        </w:rPr>
        <w:t>медицинский</w:t>
      </w:r>
      <w:r w:rsidRPr="00A34E01">
        <w:rPr>
          <w:rFonts w:ascii="Arial" w:hAnsi="Arial" w:cs="Arial"/>
          <w:color w:val="000000" w:themeColor="text1"/>
          <w:sz w:val="24"/>
          <w:szCs w:val="24"/>
          <w:shd w:val="clear" w:color="auto" w:fill="FFFFFF"/>
          <w:lang w:val="en-US"/>
        </w:rPr>
        <w:t xml:space="preserve"> </w:t>
      </w:r>
      <w:r w:rsidRPr="00A34E01">
        <w:rPr>
          <w:rFonts w:ascii="Arial" w:hAnsi="Arial" w:cs="Arial"/>
          <w:color w:val="000000" w:themeColor="text1"/>
          <w:sz w:val="24"/>
          <w:szCs w:val="24"/>
          <w:shd w:val="clear" w:color="auto" w:fill="FFFFFF"/>
        </w:rPr>
        <w:t>журнал</w:t>
      </w:r>
      <w:r w:rsidRPr="00A34E01">
        <w:rPr>
          <w:rFonts w:ascii="Arial" w:hAnsi="Arial" w:cs="Arial"/>
          <w:color w:val="000000" w:themeColor="text1"/>
          <w:sz w:val="24"/>
          <w:szCs w:val="24"/>
          <w:shd w:val="clear" w:color="auto" w:fill="FFFFFF"/>
          <w:lang w:val="en-US"/>
        </w:rPr>
        <w:t xml:space="preserve"> 2004; (3): 58–60.</w:t>
      </w:r>
    </w:p>
    <w:p w:rsidR="00EB41AB" w:rsidRPr="00A34E01" w:rsidRDefault="00EB41AB" w:rsidP="00A34E01">
      <w:pPr>
        <w:pStyle w:val="a3"/>
        <w:numPr>
          <w:ilvl w:val="0"/>
          <w:numId w:val="2"/>
        </w:numPr>
        <w:shd w:val="clear" w:color="auto" w:fill="FFFFFF"/>
        <w:spacing w:before="0" w:beforeAutospacing="0" w:after="0" w:afterAutospacing="0" w:line="360" w:lineRule="auto"/>
        <w:ind w:left="0" w:firstLine="0"/>
        <w:jc w:val="both"/>
        <w:textAlignment w:val="baseline"/>
        <w:rPr>
          <w:rFonts w:ascii="Arial" w:hAnsi="Arial" w:cs="Arial"/>
          <w:color w:val="000000" w:themeColor="text1"/>
          <w:lang w:val="en-US"/>
        </w:rPr>
      </w:pPr>
      <w:proofErr w:type="spellStart"/>
      <w:r w:rsidRPr="00A34E01">
        <w:rPr>
          <w:rFonts w:ascii="Arial" w:hAnsi="Arial" w:cs="Arial"/>
          <w:color w:val="000000" w:themeColor="text1"/>
        </w:rPr>
        <w:t>Андронати</w:t>
      </w:r>
      <w:proofErr w:type="spellEnd"/>
      <w:r w:rsidRPr="00A34E01">
        <w:rPr>
          <w:rFonts w:ascii="Arial" w:hAnsi="Arial" w:cs="Arial"/>
          <w:color w:val="000000" w:themeColor="text1"/>
        </w:rPr>
        <w:t xml:space="preserve"> С.А., Литвинова Л.А., Головенко Н.Я. Пероральный индуктор эндогенного интерферона </w:t>
      </w:r>
      <w:proofErr w:type="spellStart"/>
      <w:r w:rsidRPr="00A34E01">
        <w:rPr>
          <w:rFonts w:ascii="Arial" w:hAnsi="Arial" w:cs="Arial"/>
          <w:color w:val="000000" w:themeColor="text1"/>
        </w:rPr>
        <w:t>амиксин</w:t>
      </w:r>
      <w:proofErr w:type="spellEnd"/>
      <w:r w:rsidRPr="00A34E01">
        <w:rPr>
          <w:rFonts w:ascii="Arial" w:hAnsi="Arial" w:cs="Arial"/>
          <w:color w:val="000000" w:themeColor="text1"/>
        </w:rPr>
        <w:t xml:space="preserve"> и его аналоги. </w:t>
      </w:r>
      <w:proofErr w:type="spellStart"/>
      <w:r w:rsidRPr="00A34E01">
        <w:rPr>
          <w:rFonts w:ascii="Arial" w:hAnsi="Arial" w:cs="Arial"/>
          <w:color w:val="000000" w:themeColor="text1"/>
        </w:rPr>
        <w:t>Журн</w:t>
      </w:r>
      <w:proofErr w:type="spellEnd"/>
      <w:r w:rsidRPr="00A34E01">
        <w:rPr>
          <w:rFonts w:ascii="Arial" w:hAnsi="Arial" w:cs="Arial"/>
          <w:color w:val="000000" w:themeColor="text1"/>
          <w:lang w:val="en-US"/>
        </w:rPr>
        <w:t xml:space="preserve">. </w:t>
      </w:r>
      <w:r w:rsidRPr="00A34E01">
        <w:rPr>
          <w:rFonts w:ascii="Arial" w:hAnsi="Arial" w:cs="Arial"/>
          <w:color w:val="000000" w:themeColor="text1"/>
        </w:rPr>
        <w:t>АМН</w:t>
      </w:r>
      <w:r w:rsidRPr="00A34E01">
        <w:rPr>
          <w:rFonts w:ascii="Arial" w:hAnsi="Arial" w:cs="Arial"/>
          <w:color w:val="000000" w:themeColor="text1"/>
          <w:lang w:val="en-US"/>
        </w:rPr>
        <w:t xml:space="preserve"> </w:t>
      </w:r>
      <w:proofErr w:type="spellStart"/>
      <w:r w:rsidRPr="00A34E01">
        <w:rPr>
          <w:rFonts w:ascii="Arial" w:hAnsi="Arial" w:cs="Arial"/>
          <w:color w:val="000000" w:themeColor="text1"/>
        </w:rPr>
        <w:t>України</w:t>
      </w:r>
      <w:proofErr w:type="spellEnd"/>
      <w:r w:rsidRPr="00A34E01">
        <w:rPr>
          <w:rFonts w:ascii="Arial" w:hAnsi="Arial" w:cs="Arial"/>
          <w:color w:val="000000" w:themeColor="text1"/>
          <w:lang w:val="en-US"/>
        </w:rPr>
        <w:t xml:space="preserve"> 1999; 5 (1): 53–66.</w:t>
      </w:r>
    </w:p>
    <w:p w:rsidR="00CC1689" w:rsidRPr="00A34E01" w:rsidRDefault="00CC1689" w:rsidP="00A34E01">
      <w:pPr>
        <w:pStyle w:val="a7"/>
        <w:numPr>
          <w:ilvl w:val="0"/>
          <w:numId w:val="2"/>
        </w:numPr>
        <w:spacing w:after="0" w:line="360" w:lineRule="auto"/>
        <w:ind w:left="0" w:firstLine="0"/>
        <w:jc w:val="both"/>
        <w:rPr>
          <w:rFonts w:ascii="Arial" w:hAnsi="Arial" w:cs="Arial"/>
          <w:color w:val="000000" w:themeColor="text1"/>
          <w:sz w:val="24"/>
          <w:szCs w:val="24"/>
          <w:shd w:val="clear" w:color="auto" w:fill="FFFFFF"/>
        </w:rPr>
      </w:pPr>
      <w:r w:rsidRPr="00A34E01">
        <w:rPr>
          <w:rFonts w:ascii="Arial" w:hAnsi="Arial" w:cs="Arial"/>
          <w:color w:val="000000" w:themeColor="text1"/>
          <w:sz w:val="24"/>
          <w:szCs w:val="24"/>
        </w:rPr>
        <w:t xml:space="preserve">Временные методические рекомендации МЗ РФ. Профилактика, диагностика и лечение новой </w:t>
      </w:r>
      <w:proofErr w:type="spellStart"/>
      <w:r w:rsidRPr="00A34E01">
        <w:rPr>
          <w:rFonts w:ascii="Arial" w:hAnsi="Arial" w:cs="Arial"/>
          <w:color w:val="000000" w:themeColor="text1"/>
          <w:sz w:val="24"/>
          <w:szCs w:val="24"/>
        </w:rPr>
        <w:t>коронавирусной</w:t>
      </w:r>
      <w:proofErr w:type="spellEnd"/>
      <w:r w:rsidRPr="00A34E01">
        <w:rPr>
          <w:rFonts w:ascii="Arial" w:hAnsi="Arial" w:cs="Arial"/>
          <w:color w:val="000000" w:themeColor="text1"/>
          <w:sz w:val="24"/>
          <w:szCs w:val="24"/>
        </w:rPr>
        <w:t xml:space="preserve"> инфекции (</w:t>
      </w:r>
      <w:r w:rsidRPr="00A34E01">
        <w:rPr>
          <w:rFonts w:ascii="Arial" w:hAnsi="Arial" w:cs="Arial"/>
          <w:color w:val="000000" w:themeColor="text1"/>
          <w:sz w:val="24"/>
          <w:szCs w:val="24"/>
          <w:lang w:val="en-US"/>
        </w:rPr>
        <w:t>COVID</w:t>
      </w:r>
      <w:r w:rsidRPr="00A34E01">
        <w:rPr>
          <w:rFonts w:ascii="Arial" w:hAnsi="Arial" w:cs="Arial"/>
          <w:color w:val="000000" w:themeColor="text1"/>
          <w:sz w:val="24"/>
          <w:szCs w:val="24"/>
        </w:rPr>
        <w:t>-19). Версия 6 (24.04.2020): 143.</w:t>
      </w:r>
    </w:p>
    <w:p w:rsidR="00CC1689" w:rsidRPr="00A34E01" w:rsidRDefault="00CC1689" w:rsidP="00A34E01">
      <w:pPr>
        <w:pStyle w:val="a7"/>
        <w:numPr>
          <w:ilvl w:val="0"/>
          <w:numId w:val="2"/>
        </w:numPr>
        <w:spacing w:after="0" w:line="360" w:lineRule="auto"/>
        <w:ind w:left="0" w:firstLine="0"/>
        <w:jc w:val="both"/>
        <w:rPr>
          <w:rFonts w:ascii="Arial" w:hAnsi="Arial" w:cs="Arial"/>
          <w:color w:val="000000" w:themeColor="text1"/>
          <w:sz w:val="24"/>
          <w:szCs w:val="24"/>
        </w:rPr>
      </w:pPr>
      <w:r w:rsidRPr="00A34E01">
        <w:rPr>
          <w:rFonts w:ascii="Arial" w:hAnsi="Arial" w:cs="Arial"/>
          <w:color w:val="000000" w:themeColor="text1"/>
          <w:sz w:val="24"/>
          <w:szCs w:val="24"/>
        </w:rPr>
        <w:t>Деева Э.Г. Антивирусные препараты для лечения гриппа: сборник статей. Под</w:t>
      </w:r>
      <w:r w:rsidRPr="00A34E01">
        <w:rPr>
          <w:rFonts w:ascii="Arial" w:hAnsi="Arial" w:cs="Arial"/>
          <w:color w:val="000000" w:themeColor="text1"/>
          <w:sz w:val="24"/>
          <w:szCs w:val="24"/>
          <w:lang w:val="en-US"/>
        </w:rPr>
        <w:t xml:space="preserve"> </w:t>
      </w:r>
      <w:proofErr w:type="spellStart"/>
      <w:r w:rsidRPr="00A34E01">
        <w:rPr>
          <w:rFonts w:ascii="Arial" w:hAnsi="Arial" w:cs="Arial"/>
          <w:color w:val="000000" w:themeColor="text1"/>
          <w:sz w:val="24"/>
          <w:szCs w:val="24"/>
        </w:rPr>
        <w:t>ред</w:t>
      </w:r>
      <w:proofErr w:type="spellEnd"/>
      <w:r w:rsidRPr="00A34E01">
        <w:rPr>
          <w:rFonts w:ascii="Arial" w:hAnsi="Arial" w:cs="Arial"/>
          <w:color w:val="000000" w:themeColor="text1"/>
          <w:sz w:val="24"/>
          <w:szCs w:val="24"/>
          <w:lang w:val="en-US"/>
        </w:rPr>
        <w:t xml:space="preserve">. </w:t>
      </w:r>
      <w:r w:rsidRPr="00A34E01">
        <w:rPr>
          <w:rFonts w:ascii="Arial" w:hAnsi="Arial" w:cs="Arial"/>
          <w:color w:val="000000" w:themeColor="text1"/>
          <w:sz w:val="24"/>
          <w:szCs w:val="24"/>
        </w:rPr>
        <w:t>В</w:t>
      </w:r>
      <w:r w:rsidRPr="00A34E01">
        <w:rPr>
          <w:rFonts w:ascii="Arial" w:hAnsi="Arial" w:cs="Arial"/>
          <w:color w:val="000000" w:themeColor="text1"/>
          <w:sz w:val="24"/>
          <w:szCs w:val="24"/>
          <w:lang w:val="en-US"/>
        </w:rPr>
        <w:t>.</w:t>
      </w:r>
      <w:r w:rsidRPr="00A34E01">
        <w:rPr>
          <w:rFonts w:ascii="Arial" w:hAnsi="Arial" w:cs="Arial"/>
          <w:color w:val="000000" w:themeColor="text1"/>
          <w:sz w:val="24"/>
          <w:szCs w:val="24"/>
        </w:rPr>
        <w:t>И</w:t>
      </w:r>
      <w:r w:rsidRPr="00A34E01">
        <w:rPr>
          <w:rFonts w:ascii="Arial" w:hAnsi="Arial" w:cs="Arial"/>
          <w:color w:val="000000" w:themeColor="text1"/>
          <w:sz w:val="24"/>
          <w:szCs w:val="24"/>
          <w:lang w:val="en-US"/>
        </w:rPr>
        <w:t xml:space="preserve">. </w:t>
      </w:r>
      <w:r w:rsidRPr="00A34E01">
        <w:rPr>
          <w:rFonts w:ascii="Arial" w:hAnsi="Arial" w:cs="Arial"/>
          <w:color w:val="000000" w:themeColor="text1"/>
          <w:sz w:val="24"/>
          <w:szCs w:val="24"/>
        </w:rPr>
        <w:t>Покровского</w:t>
      </w:r>
      <w:r w:rsidRPr="00A34E01">
        <w:rPr>
          <w:rFonts w:ascii="Arial" w:hAnsi="Arial" w:cs="Arial"/>
          <w:color w:val="000000" w:themeColor="text1"/>
          <w:sz w:val="24"/>
          <w:szCs w:val="24"/>
          <w:lang w:val="en-US"/>
        </w:rPr>
        <w:t xml:space="preserve">. – </w:t>
      </w:r>
      <w:r w:rsidRPr="00A34E01">
        <w:rPr>
          <w:rFonts w:ascii="Arial" w:hAnsi="Arial" w:cs="Arial"/>
          <w:color w:val="000000" w:themeColor="text1"/>
          <w:sz w:val="24"/>
          <w:szCs w:val="24"/>
        </w:rPr>
        <w:t>СПб</w:t>
      </w:r>
      <w:r w:rsidRPr="00A34E01">
        <w:rPr>
          <w:rFonts w:ascii="Arial" w:hAnsi="Arial" w:cs="Arial"/>
          <w:color w:val="000000" w:themeColor="text1"/>
          <w:sz w:val="24"/>
          <w:szCs w:val="24"/>
          <w:lang w:val="en-US"/>
        </w:rPr>
        <w:t xml:space="preserve">: </w:t>
      </w:r>
      <w:r w:rsidRPr="00A34E01">
        <w:rPr>
          <w:rFonts w:ascii="Arial" w:hAnsi="Arial" w:cs="Arial"/>
          <w:color w:val="000000" w:themeColor="text1"/>
          <w:sz w:val="24"/>
          <w:szCs w:val="24"/>
        </w:rPr>
        <w:t>Росток</w:t>
      </w:r>
      <w:r w:rsidRPr="00A34E01">
        <w:rPr>
          <w:rFonts w:ascii="Arial" w:hAnsi="Arial" w:cs="Arial"/>
          <w:color w:val="000000" w:themeColor="text1"/>
          <w:sz w:val="24"/>
          <w:szCs w:val="24"/>
          <w:lang w:val="en-US"/>
        </w:rPr>
        <w:t>, 2005:131–162.</w:t>
      </w:r>
    </w:p>
    <w:p w:rsidR="00CC1689" w:rsidRPr="00A34E01" w:rsidRDefault="00CC1689" w:rsidP="00A34E01">
      <w:pPr>
        <w:pStyle w:val="a7"/>
        <w:numPr>
          <w:ilvl w:val="0"/>
          <w:numId w:val="2"/>
        </w:numPr>
        <w:spacing w:after="0" w:line="360" w:lineRule="auto"/>
        <w:ind w:left="0" w:firstLine="0"/>
        <w:jc w:val="both"/>
        <w:rPr>
          <w:rFonts w:ascii="Arial" w:hAnsi="Arial" w:cs="Arial"/>
          <w:color w:val="000000" w:themeColor="text1"/>
          <w:sz w:val="24"/>
          <w:szCs w:val="24"/>
          <w:shd w:val="clear" w:color="auto" w:fill="FFFFFF"/>
        </w:rPr>
      </w:pPr>
      <w:r w:rsidRPr="00A34E01">
        <w:rPr>
          <w:rFonts w:ascii="Arial" w:hAnsi="Arial" w:cs="Arial"/>
          <w:color w:val="000000" w:themeColor="text1"/>
          <w:sz w:val="24"/>
          <w:szCs w:val="24"/>
        </w:rPr>
        <w:t xml:space="preserve">Диагностика, лечение и профилактика новой </w:t>
      </w:r>
      <w:proofErr w:type="spellStart"/>
      <w:r w:rsidRPr="00A34E01">
        <w:rPr>
          <w:rFonts w:ascii="Arial" w:hAnsi="Arial" w:cs="Arial"/>
          <w:color w:val="000000" w:themeColor="text1"/>
          <w:sz w:val="24"/>
          <w:szCs w:val="24"/>
        </w:rPr>
        <w:t>коронавирусной</w:t>
      </w:r>
      <w:proofErr w:type="spellEnd"/>
      <w:r w:rsidRPr="00A34E01">
        <w:rPr>
          <w:rFonts w:ascii="Arial" w:hAnsi="Arial" w:cs="Arial"/>
          <w:color w:val="000000" w:themeColor="text1"/>
          <w:sz w:val="24"/>
          <w:szCs w:val="24"/>
        </w:rPr>
        <w:t xml:space="preserve"> инфекции (</w:t>
      </w:r>
      <w:r w:rsidRPr="00A34E01">
        <w:rPr>
          <w:rFonts w:ascii="Arial" w:hAnsi="Arial" w:cs="Arial"/>
          <w:color w:val="000000" w:themeColor="text1"/>
          <w:sz w:val="24"/>
          <w:szCs w:val="24"/>
          <w:lang w:val="en-US"/>
        </w:rPr>
        <w:t>COVID</w:t>
      </w:r>
      <w:r w:rsidRPr="00A34E01">
        <w:rPr>
          <w:rFonts w:ascii="Arial" w:hAnsi="Arial" w:cs="Arial"/>
          <w:color w:val="000000" w:themeColor="text1"/>
          <w:sz w:val="24"/>
          <w:szCs w:val="24"/>
        </w:rPr>
        <w:t xml:space="preserve">-19). Методические рекомендации ГВМУ МО РФ. Версия 4 (06.04.2020): 53. </w:t>
      </w:r>
    </w:p>
    <w:p w:rsidR="00EB41AB" w:rsidRPr="00A34E01" w:rsidRDefault="00EB41AB" w:rsidP="00A34E01">
      <w:pPr>
        <w:pStyle w:val="a7"/>
        <w:numPr>
          <w:ilvl w:val="0"/>
          <w:numId w:val="2"/>
        </w:numPr>
        <w:spacing w:after="0" w:line="360" w:lineRule="auto"/>
        <w:ind w:left="0" w:firstLine="0"/>
        <w:jc w:val="both"/>
        <w:rPr>
          <w:rFonts w:ascii="Arial" w:hAnsi="Arial" w:cs="Arial"/>
          <w:color w:val="000000" w:themeColor="text1"/>
          <w:sz w:val="24"/>
          <w:szCs w:val="24"/>
        </w:rPr>
      </w:pPr>
      <w:proofErr w:type="spellStart"/>
      <w:r w:rsidRPr="00A34E01">
        <w:rPr>
          <w:rFonts w:ascii="Arial" w:hAnsi="Arial" w:cs="Arial"/>
          <w:color w:val="000000" w:themeColor="text1"/>
          <w:sz w:val="24"/>
          <w:szCs w:val="24"/>
        </w:rPr>
        <w:t>Ермольева</w:t>
      </w:r>
      <w:proofErr w:type="spellEnd"/>
      <w:r w:rsidRPr="00A34E01">
        <w:rPr>
          <w:rFonts w:ascii="Arial" w:hAnsi="Arial" w:cs="Arial"/>
          <w:color w:val="000000" w:themeColor="text1"/>
          <w:sz w:val="24"/>
          <w:szCs w:val="24"/>
        </w:rPr>
        <w:t xml:space="preserve"> 3.В., Корнеева Л.Е., Балезина Т.И, </w:t>
      </w:r>
      <w:r w:rsidRPr="00A34E01">
        <w:rPr>
          <w:rFonts w:ascii="Arial" w:hAnsi="Arial" w:cs="Arial"/>
          <w:color w:val="000000" w:themeColor="text1"/>
          <w:sz w:val="24"/>
          <w:szCs w:val="24"/>
          <w:shd w:val="clear" w:color="auto" w:fill="FFFFFF"/>
        </w:rPr>
        <w:t xml:space="preserve">Николаева О.В., </w:t>
      </w:r>
      <w:proofErr w:type="spellStart"/>
      <w:r w:rsidRPr="00A34E01">
        <w:rPr>
          <w:rFonts w:ascii="Arial" w:hAnsi="Arial" w:cs="Arial"/>
          <w:color w:val="000000" w:themeColor="text1"/>
          <w:sz w:val="24"/>
          <w:szCs w:val="24"/>
          <w:shd w:val="clear" w:color="auto" w:fill="FFFFFF"/>
        </w:rPr>
        <w:t>Гвазава</w:t>
      </w:r>
      <w:proofErr w:type="spellEnd"/>
      <w:r w:rsidRPr="00A34E01">
        <w:rPr>
          <w:rFonts w:ascii="Arial" w:hAnsi="Arial" w:cs="Arial"/>
          <w:color w:val="000000" w:themeColor="text1"/>
          <w:sz w:val="24"/>
          <w:szCs w:val="24"/>
          <w:shd w:val="clear" w:color="auto" w:fill="FFFFFF"/>
        </w:rPr>
        <w:t xml:space="preserve"> И.С.</w:t>
      </w:r>
      <w:r w:rsidRPr="00A34E01">
        <w:rPr>
          <w:rFonts w:ascii="Arial" w:hAnsi="Arial" w:cs="Arial"/>
          <w:color w:val="000000" w:themeColor="text1"/>
          <w:sz w:val="24"/>
          <w:szCs w:val="24"/>
        </w:rPr>
        <w:t xml:space="preserve"> </w:t>
      </w:r>
      <w:proofErr w:type="spellStart"/>
      <w:r w:rsidRPr="00A34E01">
        <w:rPr>
          <w:rFonts w:ascii="Arial" w:hAnsi="Arial" w:cs="Arial"/>
          <w:color w:val="000000" w:themeColor="text1"/>
          <w:sz w:val="24"/>
          <w:szCs w:val="24"/>
        </w:rPr>
        <w:t>Тилорон</w:t>
      </w:r>
      <w:proofErr w:type="spellEnd"/>
      <w:r w:rsidRPr="00A34E01">
        <w:rPr>
          <w:rFonts w:ascii="Arial" w:hAnsi="Arial" w:cs="Arial"/>
          <w:color w:val="000000" w:themeColor="text1"/>
          <w:sz w:val="24"/>
          <w:szCs w:val="24"/>
        </w:rPr>
        <w:t xml:space="preserve"> как индуктор интерферона. Антибиотики 1973; 18(6): 517–520.</w:t>
      </w:r>
    </w:p>
    <w:p w:rsidR="00CC1689" w:rsidRPr="00A34E01" w:rsidRDefault="00CC1689" w:rsidP="00A34E01">
      <w:pPr>
        <w:pStyle w:val="a7"/>
        <w:numPr>
          <w:ilvl w:val="0"/>
          <w:numId w:val="2"/>
        </w:numPr>
        <w:shd w:val="clear" w:color="auto" w:fill="FFFFFF"/>
        <w:spacing w:after="0" w:line="360" w:lineRule="auto"/>
        <w:ind w:left="0" w:firstLine="0"/>
        <w:jc w:val="both"/>
        <w:rPr>
          <w:rFonts w:ascii="Arial" w:eastAsia="Times New Roman" w:hAnsi="Arial" w:cs="Arial"/>
          <w:color w:val="000000" w:themeColor="text1"/>
          <w:sz w:val="24"/>
          <w:szCs w:val="24"/>
          <w:lang w:eastAsia="ru-RU"/>
        </w:rPr>
      </w:pPr>
      <w:r w:rsidRPr="00A34E01">
        <w:rPr>
          <w:rFonts w:ascii="Arial" w:hAnsi="Arial" w:cs="Arial"/>
          <w:color w:val="000000" w:themeColor="text1"/>
          <w:sz w:val="24"/>
          <w:szCs w:val="24"/>
          <w:shd w:val="clear" w:color="auto" w:fill="FFFFFF"/>
        </w:rPr>
        <w:t xml:space="preserve">Закиров И.Г. Опыт применения </w:t>
      </w:r>
      <w:proofErr w:type="spellStart"/>
      <w:r w:rsidRPr="00A34E01">
        <w:rPr>
          <w:rFonts w:ascii="Arial" w:hAnsi="Arial" w:cs="Arial"/>
          <w:color w:val="000000" w:themeColor="text1"/>
          <w:sz w:val="24"/>
          <w:szCs w:val="24"/>
          <w:shd w:val="clear" w:color="auto" w:fill="FFFFFF"/>
        </w:rPr>
        <w:t>амиксина</w:t>
      </w:r>
      <w:proofErr w:type="spellEnd"/>
      <w:r w:rsidRPr="00A34E01">
        <w:rPr>
          <w:rFonts w:ascii="Arial" w:hAnsi="Arial" w:cs="Arial"/>
          <w:color w:val="000000" w:themeColor="text1"/>
          <w:sz w:val="24"/>
          <w:szCs w:val="24"/>
          <w:shd w:val="clear" w:color="auto" w:fill="FFFFFF"/>
        </w:rPr>
        <w:t xml:space="preserve"> при лечении и профилактике некоторых вирусных инфекционных заболеваниях</w:t>
      </w:r>
      <w:r w:rsidR="00A34E01" w:rsidRPr="00A34E01">
        <w:rPr>
          <w:rFonts w:ascii="Arial" w:hAnsi="Arial" w:cs="Arial"/>
          <w:color w:val="000000" w:themeColor="text1"/>
          <w:sz w:val="24"/>
          <w:szCs w:val="24"/>
          <w:shd w:val="clear" w:color="auto" w:fill="FFFFFF"/>
        </w:rPr>
        <w:t>.</w:t>
      </w:r>
      <w:r w:rsidRPr="00A34E01">
        <w:rPr>
          <w:rFonts w:ascii="Arial" w:hAnsi="Arial" w:cs="Arial"/>
          <w:color w:val="000000" w:themeColor="text1"/>
          <w:sz w:val="24"/>
          <w:szCs w:val="24"/>
          <w:shd w:val="clear" w:color="auto" w:fill="FFFFFF"/>
        </w:rPr>
        <w:t xml:space="preserve"> Клиническая медицина</w:t>
      </w:r>
      <w:r w:rsidR="00A34E01" w:rsidRPr="00A34E01">
        <w:rPr>
          <w:rFonts w:ascii="Arial" w:hAnsi="Arial" w:cs="Arial"/>
          <w:color w:val="000000" w:themeColor="text1"/>
          <w:sz w:val="24"/>
          <w:szCs w:val="24"/>
          <w:shd w:val="clear" w:color="auto" w:fill="FFFFFF"/>
        </w:rPr>
        <w:t xml:space="preserve"> </w:t>
      </w:r>
      <w:r w:rsidRPr="00A34E01">
        <w:rPr>
          <w:rFonts w:ascii="Arial" w:hAnsi="Arial" w:cs="Arial"/>
          <w:color w:val="000000" w:themeColor="text1"/>
          <w:sz w:val="24"/>
          <w:szCs w:val="24"/>
          <w:shd w:val="clear" w:color="auto" w:fill="FFFFFF"/>
        </w:rPr>
        <w:t>2002</w:t>
      </w:r>
      <w:r w:rsidR="00A34E01" w:rsidRPr="00A34E01">
        <w:rPr>
          <w:rFonts w:ascii="Arial" w:hAnsi="Arial" w:cs="Arial"/>
          <w:color w:val="000000" w:themeColor="text1"/>
          <w:sz w:val="24"/>
          <w:szCs w:val="24"/>
          <w:shd w:val="clear" w:color="auto" w:fill="FFFFFF"/>
        </w:rPr>
        <w:t>(12):</w:t>
      </w:r>
      <w:r w:rsidRPr="00A34E01">
        <w:rPr>
          <w:rFonts w:ascii="Arial" w:hAnsi="Arial" w:cs="Arial"/>
          <w:color w:val="000000" w:themeColor="text1"/>
          <w:sz w:val="24"/>
          <w:szCs w:val="24"/>
          <w:shd w:val="clear" w:color="auto" w:fill="FFFFFF"/>
        </w:rPr>
        <w:t xml:space="preserve"> 54 - 56.</w:t>
      </w:r>
    </w:p>
    <w:p w:rsidR="00884538" w:rsidRPr="00A34E01" w:rsidRDefault="00884538" w:rsidP="00A34E01">
      <w:pPr>
        <w:pStyle w:val="a3"/>
        <w:numPr>
          <w:ilvl w:val="0"/>
          <w:numId w:val="2"/>
        </w:numPr>
        <w:shd w:val="clear" w:color="auto" w:fill="FFFFFF"/>
        <w:spacing w:before="0" w:beforeAutospacing="0" w:after="0" w:afterAutospacing="0" w:line="360" w:lineRule="auto"/>
        <w:ind w:left="0" w:firstLine="0"/>
        <w:jc w:val="both"/>
        <w:textAlignment w:val="baseline"/>
        <w:rPr>
          <w:rFonts w:ascii="Arial" w:hAnsi="Arial" w:cs="Arial"/>
          <w:iCs/>
          <w:color w:val="000000" w:themeColor="text1"/>
          <w:shd w:val="clear" w:color="auto" w:fill="FFFFFF"/>
        </w:rPr>
      </w:pPr>
      <w:proofErr w:type="spellStart"/>
      <w:r w:rsidRPr="00A34E01">
        <w:rPr>
          <w:rStyle w:val="a4"/>
          <w:rFonts w:ascii="Arial" w:hAnsi="Arial" w:cs="Arial"/>
          <w:i w:val="0"/>
          <w:color w:val="000000" w:themeColor="text1"/>
          <w:bdr w:val="none" w:sz="0" w:space="0" w:color="auto" w:frame="1"/>
          <w:shd w:val="clear" w:color="auto" w:fill="FFFFFF"/>
        </w:rPr>
        <w:t>Калюжин</w:t>
      </w:r>
      <w:proofErr w:type="spellEnd"/>
      <w:r w:rsidRPr="00A34E01">
        <w:rPr>
          <w:rStyle w:val="a4"/>
          <w:rFonts w:ascii="Arial" w:hAnsi="Arial" w:cs="Arial"/>
          <w:i w:val="0"/>
          <w:color w:val="000000" w:themeColor="text1"/>
          <w:bdr w:val="none" w:sz="0" w:space="0" w:color="auto" w:frame="1"/>
          <w:shd w:val="clear" w:color="auto" w:fill="FFFFFF"/>
        </w:rPr>
        <w:t xml:space="preserve"> О. В.</w:t>
      </w:r>
      <w:r w:rsidRPr="00A34E01">
        <w:rPr>
          <w:rStyle w:val="a4"/>
          <w:rFonts w:ascii="Arial" w:hAnsi="Arial" w:cs="Arial"/>
          <w:i w:val="0"/>
          <w:color w:val="000000" w:themeColor="text1"/>
          <w:bdr w:val="none" w:sz="0" w:space="0" w:color="auto" w:frame="1"/>
          <w:shd w:val="clear" w:color="auto" w:fill="FFFFFF"/>
          <w:lang w:val="en-US"/>
        </w:rPr>
        <w:t> </w:t>
      </w:r>
      <w:r w:rsidRPr="00A34E01">
        <w:rPr>
          <w:rFonts w:ascii="Arial" w:hAnsi="Arial" w:cs="Arial"/>
          <w:iCs/>
          <w:color w:val="000000" w:themeColor="text1"/>
          <w:shd w:val="clear" w:color="auto" w:fill="FFFFFF"/>
        </w:rPr>
        <w:t>Острые респираторные вирусные инфекции: современные вызовы, новый взгляд на место индукторов интерферонов в профилактике и терапии. Лечащий Врач 2013(9): 78–84.</w:t>
      </w:r>
    </w:p>
    <w:p w:rsidR="00CC1689" w:rsidRPr="00A34E01" w:rsidRDefault="00CC1689" w:rsidP="00A34E01">
      <w:pPr>
        <w:pStyle w:val="a7"/>
        <w:numPr>
          <w:ilvl w:val="0"/>
          <w:numId w:val="2"/>
        </w:numPr>
        <w:spacing w:after="0" w:line="360" w:lineRule="auto"/>
        <w:ind w:left="0" w:firstLine="0"/>
        <w:jc w:val="both"/>
        <w:rPr>
          <w:rFonts w:ascii="Arial" w:hAnsi="Arial" w:cs="Arial"/>
          <w:color w:val="000000" w:themeColor="text1"/>
          <w:sz w:val="24"/>
          <w:szCs w:val="24"/>
          <w:shd w:val="clear" w:color="auto" w:fill="FFFFFF"/>
        </w:rPr>
      </w:pPr>
      <w:r w:rsidRPr="00A34E01">
        <w:rPr>
          <w:rFonts w:ascii="Arial" w:hAnsi="Arial" w:cs="Arial"/>
          <w:color w:val="000000" w:themeColor="text1"/>
          <w:sz w:val="24"/>
          <w:szCs w:val="24"/>
          <w:shd w:val="clear" w:color="auto" w:fill="FFFFFF"/>
        </w:rPr>
        <w:t xml:space="preserve">Караулов А.В., Сокуренко С.И., </w:t>
      </w:r>
      <w:proofErr w:type="spellStart"/>
      <w:r w:rsidRPr="00A34E01">
        <w:rPr>
          <w:rFonts w:ascii="Arial" w:hAnsi="Arial" w:cs="Arial"/>
          <w:color w:val="000000" w:themeColor="text1"/>
          <w:sz w:val="24"/>
          <w:szCs w:val="24"/>
          <w:shd w:val="clear" w:color="auto" w:fill="FFFFFF"/>
        </w:rPr>
        <w:t>Калюжин</w:t>
      </w:r>
      <w:proofErr w:type="spellEnd"/>
      <w:r w:rsidRPr="00A34E01">
        <w:rPr>
          <w:rFonts w:ascii="Arial" w:hAnsi="Arial" w:cs="Arial"/>
          <w:color w:val="000000" w:themeColor="text1"/>
          <w:sz w:val="24"/>
          <w:szCs w:val="24"/>
          <w:shd w:val="clear" w:color="auto" w:fill="FFFFFF"/>
        </w:rPr>
        <w:t xml:space="preserve"> О.В., </w:t>
      </w:r>
      <w:proofErr w:type="spellStart"/>
      <w:r w:rsidRPr="00A34E01">
        <w:rPr>
          <w:rFonts w:ascii="Arial" w:hAnsi="Arial" w:cs="Arial"/>
          <w:color w:val="000000" w:themeColor="text1"/>
          <w:sz w:val="24"/>
          <w:szCs w:val="24"/>
          <w:shd w:val="clear" w:color="auto" w:fill="FFFFFF"/>
        </w:rPr>
        <w:t>Евсегнеева</w:t>
      </w:r>
      <w:proofErr w:type="spellEnd"/>
      <w:r w:rsidRPr="00A34E01">
        <w:rPr>
          <w:rFonts w:ascii="Arial" w:hAnsi="Arial" w:cs="Arial"/>
          <w:color w:val="000000" w:themeColor="text1"/>
          <w:sz w:val="24"/>
          <w:szCs w:val="24"/>
          <w:shd w:val="clear" w:color="auto" w:fill="FFFFFF"/>
        </w:rPr>
        <w:t xml:space="preserve"> И В. Направленная регуляция иммунных реакций в профилактике и лечении заболеваний человека. Иммунопатология</w:t>
      </w:r>
      <w:r w:rsidRPr="00A34E01">
        <w:rPr>
          <w:rFonts w:ascii="Arial" w:hAnsi="Arial" w:cs="Arial"/>
          <w:color w:val="000000" w:themeColor="text1"/>
          <w:sz w:val="24"/>
          <w:szCs w:val="24"/>
          <w:shd w:val="clear" w:color="auto" w:fill="FFFFFF"/>
          <w:lang w:val="en-US"/>
        </w:rPr>
        <w:t xml:space="preserve">, </w:t>
      </w:r>
      <w:r w:rsidRPr="00A34E01">
        <w:rPr>
          <w:rFonts w:ascii="Arial" w:hAnsi="Arial" w:cs="Arial"/>
          <w:color w:val="000000" w:themeColor="text1"/>
          <w:sz w:val="24"/>
          <w:szCs w:val="24"/>
          <w:shd w:val="clear" w:color="auto" w:fill="FFFFFF"/>
        </w:rPr>
        <w:t>аллергология</w:t>
      </w:r>
      <w:r w:rsidRPr="00A34E01">
        <w:rPr>
          <w:rFonts w:ascii="Arial" w:hAnsi="Arial" w:cs="Arial"/>
          <w:color w:val="000000" w:themeColor="text1"/>
          <w:sz w:val="24"/>
          <w:szCs w:val="24"/>
          <w:shd w:val="clear" w:color="auto" w:fill="FFFFFF"/>
          <w:lang w:val="en-US"/>
        </w:rPr>
        <w:t xml:space="preserve">, </w:t>
      </w:r>
      <w:proofErr w:type="spellStart"/>
      <w:r w:rsidRPr="00A34E01">
        <w:rPr>
          <w:rFonts w:ascii="Arial" w:hAnsi="Arial" w:cs="Arial"/>
          <w:color w:val="000000" w:themeColor="text1"/>
          <w:sz w:val="24"/>
          <w:szCs w:val="24"/>
          <w:shd w:val="clear" w:color="auto" w:fill="FFFFFF"/>
        </w:rPr>
        <w:t>инфектология</w:t>
      </w:r>
      <w:proofErr w:type="spellEnd"/>
      <w:r w:rsidRPr="00A34E01">
        <w:rPr>
          <w:rFonts w:ascii="Arial" w:hAnsi="Arial" w:cs="Arial"/>
          <w:color w:val="000000" w:themeColor="text1"/>
          <w:sz w:val="24"/>
          <w:szCs w:val="24"/>
          <w:shd w:val="clear" w:color="auto" w:fill="FFFFFF"/>
          <w:lang w:val="en-US"/>
        </w:rPr>
        <w:t xml:space="preserve"> 2000; (1): 7–13.</w:t>
      </w:r>
    </w:p>
    <w:p w:rsidR="00CC1689" w:rsidRPr="00A34E01" w:rsidRDefault="00CC1689" w:rsidP="00A34E01">
      <w:pPr>
        <w:pStyle w:val="a7"/>
        <w:numPr>
          <w:ilvl w:val="0"/>
          <w:numId w:val="2"/>
        </w:numPr>
        <w:spacing w:after="0" w:line="360" w:lineRule="auto"/>
        <w:ind w:left="0" w:firstLine="0"/>
        <w:jc w:val="both"/>
        <w:rPr>
          <w:rFonts w:ascii="Arial" w:hAnsi="Arial" w:cs="Arial"/>
          <w:color w:val="000000" w:themeColor="text1"/>
          <w:sz w:val="24"/>
          <w:szCs w:val="24"/>
          <w:shd w:val="clear" w:color="auto" w:fill="FFFFFF"/>
        </w:rPr>
      </w:pPr>
      <w:r w:rsidRPr="00A34E01">
        <w:rPr>
          <w:rFonts w:ascii="Arial" w:hAnsi="Arial" w:cs="Arial"/>
          <w:color w:val="000000" w:themeColor="text1"/>
          <w:sz w:val="24"/>
          <w:szCs w:val="24"/>
          <w:shd w:val="clear" w:color="auto" w:fill="FFFFFF"/>
        </w:rPr>
        <w:t xml:space="preserve">Караулов А.В., </w:t>
      </w:r>
      <w:proofErr w:type="spellStart"/>
      <w:r w:rsidRPr="00A34E01">
        <w:rPr>
          <w:rFonts w:ascii="Arial" w:hAnsi="Arial" w:cs="Arial"/>
          <w:color w:val="000000" w:themeColor="text1"/>
          <w:sz w:val="24"/>
          <w:szCs w:val="24"/>
          <w:shd w:val="clear" w:color="auto" w:fill="FFFFFF"/>
        </w:rPr>
        <w:t>Калюжин</w:t>
      </w:r>
      <w:proofErr w:type="spellEnd"/>
      <w:r w:rsidRPr="00A34E01">
        <w:rPr>
          <w:rFonts w:ascii="Arial" w:hAnsi="Arial" w:cs="Arial"/>
          <w:color w:val="000000" w:themeColor="text1"/>
          <w:sz w:val="24"/>
          <w:szCs w:val="24"/>
          <w:shd w:val="clear" w:color="auto" w:fill="FFFFFF"/>
        </w:rPr>
        <w:t xml:space="preserve"> О.В., Ликов В.Ф. Подходы к иммунотерапии воспалительных заболеваний. Кремлевская медицина. Клиниче</w:t>
      </w:r>
      <w:r w:rsidR="00A34E01" w:rsidRPr="00A34E01">
        <w:rPr>
          <w:rFonts w:ascii="Arial" w:hAnsi="Arial" w:cs="Arial"/>
          <w:color w:val="000000" w:themeColor="text1"/>
          <w:sz w:val="24"/>
          <w:szCs w:val="24"/>
          <w:shd w:val="clear" w:color="auto" w:fill="FFFFFF"/>
        </w:rPr>
        <w:t>ский вестник</w:t>
      </w:r>
      <w:r w:rsidRPr="00A34E01">
        <w:rPr>
          <w:rFonts w:ascii="Arial" w:hAnsi="Arial" w:cs="Arial"/>
          <w:color w:val="000000" w:themeColor="text1"/>
          <w:sz w:val="24"/>
          <w:szCs w:val="24"/>
          <w:shd w:val="clear" w:color="auto" w:fill="FFFFFF"/>
        </w:rPr>
        <w:t xml:space="preserve"> 2002; (1): 62–64.</w:t>
      </w:r>
    </w:p>
    <w:p w:rsidR="00CC1689" w:rsidRPr="00A34E01" w:rsidRDefault="00CC1689" w:rsidP="00A34E01">
      <w:pPr>
        <w:pStyle w:val="a7"/>
        <w:numPr>
          <w:ilvl w:val="0"/>
          <w:numId w:val="2"/>
        </w:numPr>
        <w:spacing w:after="0" w:line="360" w:lineRule="auto"/>
        <w:ind w:left="0" w:firstLine="0"/>
        <w:jc w:val="both"/>
        <w:rPr>
          <w:rFonts w:ascii="Arial" w:hAnsi="Arial" w:cs="Arial"/>
          <w:color w:val="000000" w:themeColor="text1"/>
          <w:sz w:val="24"/>
          <w:szCs w:val="24"/>
        </w:rPr>
      </w:pPr>
      <w:r w:rsidRPr="00A34E01">
        <w:rPr>
          <w:rFonts w:ascii="Arial" w:hAnsi="Arial" w:cs="Arial"/>
          <w:color w:val="000000" w:themeColor="text1"/>
          <w:sz w:val="24"/>
          <w:szCs w:val="24"/>
        </w:rPr>
        <w:t>Киселева Н.М., Кузьменко Л.Г. Противовирусные препараты в общей практике.  Лечащий</w:t>
      </w:r>
      <w:r w:rsidRPr="00A34E01">
        <w:rPr>
          <w:rFonts w:ascii="Arial" w:hAnsi="Arial" w:cs="Arial"/>
          <w:color w:val="000000" w:themeColor="text1"/>
          <w:sz w:val="24"/>
          <w:szCs w:val="24"/>
          <w:lang w:val="en-US"/>
        </w:rPr>
        <w:t xml:space="preserve"> </w:t>
      </w:r>
      <w:r w:rsidRPr="00A34E01">
        <w:rPr>
          <w:rFonts w:ascii="Arial" w:hAnsi="Arial" w:cs="Arial"/>
          <w:color w:val="000000" w:themeColor="text1"/>
          <w:sz w:val="24"/>
          <w:szCs w:val="24"/>
        </w:rPr>
        <w:t>врач</w:t>
      </w:r>
      <w:r w:rsidRPr="00A34E01">
        <w:rPr>
          <w:rFonts w:ascii="Arial" w:hAnsi="Arial" w:cs="Arial"/>
          <w:color w:val="000000" w:themeColor="text1"/>
          <w:sz w:val="24"/>
          <w:szCs w:val="24"/>
          <w:lang w:val="en-US"/>
        </w:rPr>
        <w:t xml:space="preserve"> 2007; (9): 61–64.</w:t>
      </w:r>
    </w:p>
    <w:p w:rsidR="00CC1689" w:rsidRPr="00A34E01" w:rsidRDefault="00CC1689" w:rsidP="00A34E01">
      <w:pPr>
        <w:pStyle w:val="a7"/>
        <w:numPr>
          <w:ilvl w:val="0"/>
          <w:numId w:val="2"/>
        </w:numPr>
        <w:shd w:val="clear" w:color="auto" w:fill="FFFFFF"/>
        <w:spacing w:after="0" w:line="360" w:lineRule="auto"/>
        <w:ind w:left="0" w:firstLine="0"/>
        <w:jc w:val="both"/>
        <w:rPr>
          <w:rFonts w:ascii="Arial" w:eastAsia="Times New Roman" w:hAnsi="Arial" w:cs="Arial"/>
          <w:color w:val="000000" w:themeColor="text1"/>
          <w:sz w:val="24"/>
          <w:szCs w:val="24"/>
          <w:lang w:eastAsia="ru-RU"/>
        </w:rPr>
      </w:pPr>
      <w:r w:rsidRPr="00A34E01">
        <w:rPr>
          <w:rFonts w:ascii="Arial" w:hAnsi="Arial" w:cs="Arial"/>
          <w:color w:val="000000" w:themeColor="text1"/>
          <w:sz w:val="24"/>
          <w:szCs w:val="24"/>
          <w:shd w:val="clear" w:color="auto" w:fill="FFFFFF"/>
        </w:rPr>
        <w:t xml:space="preserve">Логинова С.Я., Ковальчук А.В., Борисевич С.В., </w:t>
      </w:r>
      <w:proofErr w:type="spellStart"/>
      <w:r w:rsidRPr="00A34E01">
        <w:rPr>
          <w:rFonts w:ascii="Arial" w:hAnsi="Arial" w:cs="Arial"/>
          <w:color w:val="000000" w:themeColor="text1"/>
          <w:sz w:val="24"/>
          <w:szCs w:val="24"/>
          <w:shd w:val="clear" w:color="auto" w:fill="FFFFFF"/>
        </w:rPr>
        <w:t>Сыромятникова</w:t>
      </w:r>
      <w:proofErr w:type="spellEnd"/>
      <w:r w:rsidRPr="00A34E01">
        <w:rPr>
          <w:rFonts w:ascii="Arial" w:hAnsi="Arial" w:cs="Arial"/>
          <w:color w:val="000000" w:themeColor="text1"/>
          <w:sz w:val="24"/>
          <w:szCs w:val="24"/>
          <w:shd w:val="clear" w:color="auto" w:fill="FFFFFF"/>
        </w:rPr>
        <w:t xml:space="preserve"> С.И., Борисевич Г.В., Пащенко Ю.И., Хамитов Р.А., Максимов В.А., Шустер А.М. Противовирусная активность индуктора интерферона </w:t>
      </w:r>
      <w:proofErr w:type="spellStart"/>
      <w:r w:rsidRPr="00A34E01">
        <w:rPr>
          <w:rFonts w:ascii="Arial" w:hAnsi="Arial" w:cs="Arial"/>
          <w:color w:val="000000" w:themeColor="text1"/>
          <w:sz w:val="24"/>
          <w:szCs w:val="24"/>
          <w:shd w:val="clear" w:color="auto" w:fill="FFFFFF"/>
        </w:rPr>
        <w:t>амиксина</w:t>
      </w:r>
      <w:proofErr w:type="spellEnd"/>
      <w:r w:rsidRPr="00A34E01">
        <w:rPr>
          <w:rFonts w:ascii="Arial" w:hAnsi="Arial" w:cs="Arial"/>
          <w:color w:val="000000" w:themeColor="text1"/>
          <w:sz w:val="24"/>
          <w:szCs w:val="24"/>
          <w:shd w:val="clear" w:color="auto" w:fill="FFFFFF"/>
        </w:rPr>
        <w:t xml:space="preserve"> при </w:t>
      </w:r>
      <w:r w:rsidRPr="00A34E01">
        <w:rPr>
          <w:rFonts w:ascii="Arial" w:hAnsi="Arial" w:cs="Arial"/>
          <w:color w:val="000000" w:themeColor="text1"/>
          <w:sz w:val="24"/>
          <w:szCs w:val="24"/>
          <w:shd w:val="clear" w:color="auto" w:fill="FFFFFF"/>
        </w:rPr>
        <w:lastRenderedPageBreak/>
        <w:t>экспериментальной форме лихорадки Западного Нила. Вопросы ви</w:t>
      </w:r>
      <w:r w:rsidR="00A34E01" w:rsidRPr="00A34E01">
        <w:rPr>
          <w:rFonts w:ascii="Arial" w:hAnsi="Arial" w:cs="Arial"/>
          <w:color w:val="000000" w:themeColor="text1"/>
          <w:sz w:val="24"/>
          <w:szCs w:val="24"/>
          <w:shd w:val="clear" w:color="auto" w:fill="FFFFFF"/>
        </w:rPr>
        <w:t xml:space="preserve">русологии </w:t>
      </w:r>
      <w:r w:rsidRPr="00A34E01">
        <w:rPr>
          <w:rFonts w:ascii="Arial" w:hAnsi="Arial" w:cs="Arial"/>
          <w:color w:val="000000" w:themeColor="text1"/>
          <w:sz w:val="24"/>
          <w:szCs w:val="24"/>
          <w:shd w:val="clear" w:color="auto" w:fill="FFFFFF"/>
        </w:rPr>
        <w:t>2004(2):8-11.</w:t>
      </w:r>
    </w:p>
    <w:p w:rsidR="00081E96" w:rsidRPr="00A34E01" w:rsidRDefault="00081E96" w:rsidP="00A34E01">
      <w:pPr>
        <w:pStyle w:val="a7"/>
        <w:numPr>
          <w:ilvl w:val="0"/>
          <w:numId w:val="2"/>
        </w:numPr>
        <w:shd w:val="clear" w:color="auto" w:fill="FFFFFF"/>
        <w:spacing w:after="0" w:line="360" w:lineRule="auto"/>
        <w:ind w:left="0" w:firstLine="0"/>
        <w:jc w:val="both"/>
        <w:rPr>
          <w:rFonts w:ascii="Arial" w:hAnsi="Arial" w:cs="Arial"/>
          <w:color w:val="000000" w:themeColor="text1"/>
          <w:sz w:val="24"/>
          <w:szCs w:val="24"/>
          <w:lang w:val="en-US"/>
        </w:rPr>
      </w:pPr>
      <w:r w:rsidRPr="00A34E01">
        <w:rPr>
          <w:rFonts w:ascii="Arial" w:hAnsi="Arial" w:cs="Arial"/>
          <w:color w:val="000000" w:themeColor="text1"/>
          <w:sz w:val="24"/>
          <w:szCs w:val="24"/>
        </w:rPr>
        <w:t xml:space="preserve">Лыткина И.Н., </w:t>
      </w:r>
      <w:proofErr w:type="spellStart"/>
      <w:r w:rsidRPr="00A34E01">
        <w:rPr>
          <w:rFonts w:ascii="Arial" w:hAnsi="Arial" w:cs="Arial"/>
          <w:color w:val="000000" w:themeColor="text1"/>
          <w:sz w:val="24"/>
          <w:szCs w:val="24"/>
        </w:rPr>
        <w:t>Гренкова</w:t>
      </w:r>
      <w:proofErr w:type="spellEnd"/>
      <w:r w:rsidRPr="00A34E01">
        <w:rPr>
          <w:rFonts w:ascii="Arial" w:hAnsi="Arial" w:cs="Arial"/>
          <w:color w:val="000000" w:themeColor="text1"/>
          <w:sz w:val="24"/>
          <w:szCs w:val="24"/>
        </w:rPr>
        <w:t xml:space="preserve"> Т.А. Профилактическая эффективность препарата </w:t>
      </w:r>
      <w:proofErr w:type="spellStart"/>
      <w:r w:rsidRPr="00A34E01">
        <w:rPr>
          <w:rFonts w:ascii="Arial" w:hAnsi="Arial" w:cs="Arial"/>
          <w:color w:val="000000" w:themeColor="text1"/>
          <w:sz w:val="24"/>
          <w:szCs w:val="24"/>
        </w:rPr>
        <w:t>Лавомакс</w:t>
      </w:r>
      <w:proofErr w:type="spellEnd"/>
      <w:r w:rsidRPr="00A34E01">
        <w:rPr>
          <w:rFonts w:ascii="Arial" w:hAnsi="Arial" w:cs="Arial"/>
          <w:color w:val="000000" w:themeColor="text1"/>
          <w:sz w:val="24"/>
          <w:szCs w:val="24"/>
        </w:rPr>
        <w:t xml:space="preserve"> при гриппе и ОРВИ. Врач</w:t>
      </w:r>
      <w:r w:rsidRPr="00A34E01">
        <w:rPr>
          <w:rFonts w:ascii="Arial" w:hAnsi="Arial" w:cs="Arial"/>
          <w:color w:val="000000" w:themeColor="text1"/>
          <w:sz w:val="24"/>
          <w:szCs w:val="24"/>
          <w:lang w:val="en-US"/>
        </w:rPr>
        <w:t xml:space="preserve"> 2010 (4): 64–67.</w:t>
      </w:r>
    </w:p>
    <w:p w:rsidR="00CC1689" w:rsidRPr="00A34E01" w:rsidRDefault="00CC1689" w:rsidP="00A34E01">
      <w:pPr>
        <w:pStyle w:val="a7"/>
        <w:numPr>
          <w:ilvl w:val="0"/>
          <w:numId w:val="2"/>
        </w:numPr>
        <w:shd w:val="clear" w:color="auto" w:fill="FFFFFF"/>
        <w:spacing w:after="0" w:line="360" w:lineRule="auto"/>
        <w:ind w:left="0" w:firstLine="0"/>
        <w:jc w:val="both"/>
        <w:rPr>
          <w:rFonts w:ascii="Arial" w:eastAsia="Times New Roman" w:hAnsi="Arial" w:cs="Arial"/>
          <w:color w:val="000000" w:themeColor="text1"/>
          <w:sz w:val="24"/>
          <w:szCs w:val="24"/>
          <w:lang w:val="en-US" w:eastAsia="ru-RU"/>
        </w:rPr>
      </w:pPr>
      <w:r w:rsidRPr="00A34E01">
        <w:rPr>
          <w:rFonts w:ascii="Arial" w:hAnsi="Arial" w:cs="Arial"/>
          <w:color w:val="000000" w:themeColor="text1"/>
          <w:sz w:val="24"/>
          <w:szCs w:val="24"/>
        </w:rPr>
        <w:t xml:space="preserve">Селькова Е.П., Яковлев В.Н., Семененко Т.А. и др. Оценка профилактического эффекта Амиксина в отношении острых респираторных вирусных инфекций. Журн. </w:t>
      </w:r>
      <w:proofErr w:type="spellStart"/>
      <w:r w:rsidRPr="00A34E01">
        <w:rPr>
          <w:rFonts w:ascii="Arial" w:hAnsi="Arial" w:cs="Arial"/>
          <w:color w:val="000000" w:themeColor="text1"/>
          <w:sz w:val="24"/>
          <w:szCs w:val="24"/>
        </w:rPr>
        <w:t>Микробиол</w:t>
      </w:r>
      <w:proofErr w:type="spellEnd"/>
      <w:r w:rsidRPr="00A34E01">
        <w:rPr>
          <w:rFonts w:ascii="Arial" w:hAnsi="Arial" w:cs="Arial"/>
          <w:color w:val="000000" w:themeColor="text1"/>
          <w:sz w:val="24"/>
          <w:szCs w:val="24"/>
        </w:rPr>
        <w:t xml:space="preserve">. </w:t>
      </w:r>
      <w:proofErr w:type="spellStart"/>
      <w:r w:rsidRPr="00A34E01">
        <w:rPr>
          <w:rFonts w:ascii="Arial" w:hAnsi="Arial" w:cs="Arial"/>
          <w:color w:val="000000" w:themeColor="text1"/>
          <w:sz w:val="24"/>
          <w:szCs w:val="24"/>
        </w:rPr>
        <w:t>Епидеми</w:t>
      </w:r>
      <w:r w:rsidR="00A34E01" w:rsidRPr="00A34E01">
        <w:rPr>
          <w:rFonts w:ascii="Arial" w:hAnsi="Arial" w:cs="Arial"/>
          <w:color w:val="000000" w:themeColor="text1"/>
          <w:sz w:val="24"/>
          <w:szCs w:val="24"/>
        </w:rPr>
        <w:t>ол</w:t>
      </w:r>
      <w:proofErr w:type="spellEnd"/>
      <w:r w:rsidR="00A34E01" w:rsidRPr="00A34E01">
        <w:rPr>
          <w:rFonts w:ascii="Arial" w:hAnsi="Arial" w:cs="Arial"/>
          <w:color w:val="000000" w:themeColor="text1"/>
          <w:sz w:val="24"/>
          <w:szCs w:val="24"/>
        </w:rPr>
        <w:t xml:space="preserve">. </w:t>
      </w:r>
      <w:proofErr w:type="spellStart"/>
      <w:r w:rsidR="00A34E01" w:rsidRPr="00A34E01">
        <w:rPr>
          <w:rFonts w:ascii="Arial" w:hAnsi="Arial" w:cs="Arial"/>
          <w:color w:val="000000" w:themeColor="text1"/>
          <w:sz w:val="24"/>
          <w:szCs w:val="24"/>
        </w:rPr>
        <w:t>Иммунобиол</w:t>
      </w:r>
      <w:proofErr w:type="spellEnd"/>
      <w:r w:rsidRPr="00A34E01">
        <w:rPr>
          <w:rFonts w:ascii="Arial" w:hAnsi="Arial" w:cs="Arial"/>
          <w:color w:val="000000" w:themeColor="text1"/>
          <w:sz w:val="24"/>
          <w:szCs w:val="24"/>
        </w:rPr>
        <w:t xml:space="preserve"> 2001; 3: 42—46.</w:t>
      </w:r>
    </w:p>
    <w:p w:rsidR="00CC1689" w:rsidRPr="00A34E01" w:rsidRDefault="00CC1689" w:rsidP="00A34E01">
      <w:pPr>
        <w:pStyle w:val="a7"/>
        <w:numPr>
          <w:ilvl w:val="0"/>
          <w:numId w:val="2"/>
        </w:numPr>
        <w:spacing w:after="0" w:line="360" w:lineRule="auto"/>
        <w:ind w:left="0" w:firstLine="0"/>
        <w:jc w:val="both"/>
        <w:rPr>
          <w:rFonts w:ascii="Arial" w:hAnsi="Arial" w:cs="Arial"/>
          <w:color w:val="000000" w:themeColor="text1"/>
          <w:sz w:val="24"/>
          <w:szCs w:val="24"/>
          <w:shd w:val="clear" w:color="auto" w:fill="FFFFFF"/>
        </w:rPr>
      </w:pPr>
      <w:proofErr w:type="spellStart"/>
      <w:r w:rsidRPr="000D78CB">
        <w:rPr>
          <w:rFonts w:ascii="Arial" w:hAnsi="Arial" w:cs="Arial"/>
          <w:bCs/>
          <w:color w:val="000000" w:themeColor="text1"/>
          <w:sz w:val="24"/>
          <w:szCs w:val="24"/>
          <w:shd w:val="clear" w:color="auto" w:fill="FFFFFF"/>
        </w:rPr>
        <w:t>Стрельцова</w:t>
      </w:r>
      <w:proofErr w:type="spellEnd"/>
      <w:r w:rsidRPr="000D78CB">
        <w:rPr>
          <w:rFonts w:ascii="Arial" w:hAnsi="Arial" w:cs="Arial"/>
          <w:color w:val="000000" w:themeColor="text1"/>
          <w:sz w:val="24"/>
          <w:szCs w:val="24"/>
          <w:shd w:val="clear" w:color="auto" w:fill="FFFFFF"/>
          <w:lang w:val="en-US"/>
        </w:rPr>
        <w:t> </w:t>
      </w:r>
      <w:r w:rsidRPr="000D78CB">
        <w:rPr>
          <w:rFonts w:ascii="Arial" w:hAnsi="Arial" w:cs="Arial"/>
          <w:color w:val="000000" w:themeColor="text1"/>
          <w:sz w:val="24"/>
          <w:szCs w:val="24"/>
          <w:shd w:val="clear" w:color="auto" w:fill="FFFFFF"/>
        </w:rPr>
        <w:t xml:space="preserve">О.С., </w:t>
      </w:r>
      <w:proofErr w:type="spellStart"/>
      <w:r w:rsidRPr="000D78CB">
        <w:rPr>
          <w:rFonts w:ascii="Arial" w:hAnsi="Arial" w:cs="Arial"/>
          <w:color w:val="000000" w:themeColor="text1"/>
          <w:sz w:val="24"/>
          <w:szCs w:val="24"/>
          <w:shd w:val="clear" w:color="auto" w:fill="FFFFFF"/>
        </w:rPr>
        <w:t>Тарарова</w:t>
      </w:r>
      <w:proofErr w:type="spellEnd"/>
      <w:r w:rsidRPr="000D78CB">
        <w:rPr>
          <w:rFonts w:ascii="Arial" w:hAnsi="Arial" w:cs="Arial"/>
          <w:color w:val="000000" w:themeColor="text1"/>
          <w:sz w:val="24"/>
          <w:szCs w:val="24"/>
          <w:shd w:val="clear" w:color="auto" w:fill="FFFFFF"/>
        </w:rPr>
        <w:t xml:space="preserve"> Е.А., Киселева Е.Б. </w:t>
      </w:r>
      <w:proofErr w:type="spellStart"/>
      <w:r w:rsidRPr="000D78CB">
        <w:rPr>
          <w:rFonts w:ascii="Arial" w:hAnsi="Arial" w:cs="Arial"/>
          <w:bCs/>
          <w:color w:val="000000" w:themeColor="text1"/>
          <w:sz w:val="24"/>
          <w:szCs w:val="24"/>
          <w:shd w:val="clear" w:color="auto" w:fill="FFFFFF"/>
        </w:rPr>
        <w:t>Лавомакс</w:t>
      </w:r>
      <w:proofErr w:type="spellEnd"/>
      <w:r w:rsidRPr="000D78CB">
        <w:rPr>
          <w:rFonts w:ascii="Arial" w:hAnsi="Arial" w:cs="Arial"/>
          <w:color w:val="000000" w:themeColor="text1"/>
          <w:sz w:val="24"/>
          <w:szCs w:val="24"/>
          <w:shd w:val="clear" w:color="auto" w:fill="FFFFFF"/>
        </w:rPr>
        <w:t> в комплексном лечении хронического цистита. </w:t>
      </w:r>
      <w:r w:rsidRPr="000D78CB">
        <w:rPr>
          <w:rFonts w:ascii="Arial" w:hAnsi="Arial" w:cs="Arial"/>
          <w:bCs/>
          <w:color w:val="000000" w:themeColor="text1"/>
          <w:sz w:val="24"/>
          <w:szCs w:val="24"/>
          <w:shd w:val="clear" w:color="auto" w:fill="FFFFFF"/>
        </w:rPr>
        <w:t>Урология</w:t>
      </w:r>
      <w:r w:rsidR="00A34E01" w:rsidRPr="000D78CB">
        <w:rPr>
          <w:rFonts w:ascii="Arial" w:hAnsi="Arial" w:cs="Arial"/>
          <w:color w:val="000000" w:themeColor="text1"/>
          <w:sz w:val="24"/>
          <w:szCs w:val="24"/>
          <w:shd w:val="clear" w:color="auto" w:fill="FFFFFF"/>
        </w:rPr>
        <w:t xml:space="preserve"> 2008;</w:t>
      </w:r>
      <w:r w:rsidRPr="000D78CB">
        <w:rPr>
          <w:rFonts w:ascii="Arial" w:hAnsi="Arial" w:cs="Arial"/>
          <w:color w:val="000000" w:themeColor="text1"/>
          <w:sz w:val="24"/>
          <w:szCs w:val="24"/>
          <w:shd w:val="clear" w:color="auto" w:fill="FFFFFF"/>
        </w:rPr>
        <w:t>(5):19-23</w:t>
      </w:r>
      <w:r w:rsidRPr="00A34E01">
        <w:rPr>
          <w:rFonts w:ascii="Arial" w:hAnsi="Arial" w:cs="Arial"/>
          <w:color w:val="000000" w:themeColor="text1"/>
          <w:sz w:val="24"/>
          <w:szCs w:val="24"/>
          <w:shd w:val="clear" w:color="auto" w:fill="FFFFFF"/>
        </w:rPr>
        <w:t>.</w:t>
      </w:r>
    </w:p>
    <w:p w:rsidR="00CC1689" w:rsidRPr="00A34E01" w:rsidRDefault="00CC1689" w:rsidP="00A34E01">
      <w:pPr>
        <w:pStyle w:val="a7"/>
        <w:numPr>
          <w:ilvl w:val="0"/>
          <w:numId w:val="2"/>
        </w:numPr>
        <w:spacing w:after="0" w:line="360" w:lineRule="auto"/>
        <w:ind w:left="0" w:firstLine="0"/>
        <w:jc w:val="both"/>
        <w:rPr>
          <w:rFonts w:ascii="Arial" w:hAnsi="Arial" w:cs="Arial"/>
          <w:color w:val="000000" w:themeColor="text1"/>
          <w:sz w:val="24"/>
          <w:szCs w:val="24"/>
        </w:rPr>
      </w:pPr>
      <w:r w:rsidRPr="00A34E01">
        <w:rPr>
          <w:rFonts w:ascii="Arial" w:hAnsi="Arial" w:cs="Arial"/>
          <w:color w:val="000000" w:themeColor="text1"/>
          <w:sz w:val="24"/>
          <w:szCs w:val="24"/>
        </w:rPr>
        <w:t xml:space="preserve">Филиппова Т.О., Головенко Н.Я. </w:t>
      </w:r>
      <w:proofErr w:type="spellStart"/>
      <w:r w:rsidRPr="00A34E01">
        <w:rPr>
          <w:rFonts w:ascii="Arial" w:hAnsi="Arial" w:cs="Arial"/>
          <w:color w:val="000000" w:themeColor="text1"/>
          <w:sz w:val="24"/>
          <w:szCs w:val="24"/>
        </w:rPr>
        <w:t>Тилорон</w:t>
      </w:r>
      <w:proofErr w:type="spellEnd"/>
      <w:r w:rsidRPr="00A34E01">
        <w:rPr>
          <w:rFonts w:ascii="Arial" w:hAnsi="Arial" w:cs="Arial"/>
          <w:color w:val="000000" w:themeColor="text1"/>
          <w:sz w:val="24"/>
          <w:szCs w:val="24"/>
        </w:rPr>
        <w:t>: профиль биологической активности. Фармакологические свойства. Интерактивная антропология 2006;(1): 18–23.</w:t>
      </w:r>
    </w:p>
    <w:p w:rsidR="00CC1689" w:rsidRPr="00A34E01" w:rsidRDefault="00CC1689" w:rsidP="00A34E01">
      <w:pPr>
        <w:pStyle w:val="a7"/>
        <w:numPr>
          <w:ilvl w:val="0"/>
          <w:numId w:val="2"/>
        </w:numPr>
        <w:shd w:val="clear" w:color="auto" w:fill="FFFFFF"/>
        <w:spacing w:after="0" w:line="360" w:lineRule="auto"/>
        <w:ind w:left="0" w:firstLine="0"/>
        <w:jc w:val="both"/>
        <w:rPr>
          <w:rFonts w:ascii="Arial" w:eastAsia="Times New Roman" w:hAnsi="Arial" w:cs="Arial"/>
          <w:color w:val="000000" w:themeColor="text1"/>
          <w:sz w:val="24"/>
          <w:szCs w:val="24"/>
          <w:lang w:val="en-US" w:eastAsia="ru-RU"/>
        </w:rPr>
      </w:pPr>
      <w:r w:rsidRPr="00A34E01">
        <w:rPr>
          <w:rFonts w:ascii="Arial" w:hAnsi="Arial" w:cs="Arial"/>
          <w:color w:val="000000" w:themeColor="text1"/>
          <w:sz w:val="24"/>
          <w:szCs w:val="24"/>
          <w:shd w:val="clear" w:color="auto" w:fill="FFFFFF"/>
        </w:rPr>
        <w:t xml:space="preserve">Чижов Н.П., Смольская Т.Т., </w:t>
      </w:r>
      <w:proofErr w:type="spellStart"/>
      <w:r w:rsidRPr="00A34E01">
        <w:rPr>
          <w:rFonts w:ascii="Arial" w:hAnsi="Arial" w:cs="Arial"/>
          <w:color w:val="000000" w:themeColor="text1"/>
          <w:sz w:val="24"/>
          <w:szCs w:val="24"/>
          <w:shd w:val="clear" w:color="auto" w:fill="FFFFFF"/>
        </w:rPr>
        <w:t>Байченко</w:t>
      </w:r>
      <w:proofErr w:type="spellEnd"/>
      <w:r w:rsidRPr="00A34E01">
        <w:rPr>
          <w:rFonts w:ascii="Arial" w:hAnsi="Arial" w:cs="Arial"/>
          <w:color w:val="000000" w:themeColor="text1"/>
          <w:sz w:val="24"/>
          <w:szCs w:val="24"/>
          <w:shd w:val="clear" w:color="auto" w:fill="FFFFFF"/>
        </w:rPr>
        <w:t xml:space="preserve"> П.И., Лукьянова Р.И., Тесленко В.М., </w:t>
      </w:r>
      <w:proofErr w:type="spellStart"/>
      <w:r w:rsidRPr="00A34E01">
        <w:rPr>
          <w:rFonts w:ascii="Arial" w:hAnsi="Arial" w:cs="Arial"/>
          <w:color w:val="000000" w:themeColor="text1"/>
          <w:sz w:val="24"/>
          <w:szCs w:val="24"/>
          <w:shd w:val="clear" w:color="auto" w:fill="FFFFFF"/>
        </w:rPr>
        <w:t>Бавра</w:t>
      </w:r>
      <w:proofErr w:type="spellEnd"/>
      <w:r w:rsidRPr="00A34E01">
        <w:rPr>
          <w:rFonts w:ascii="Arial" w:hAnsi="Arial" w:cs="Arial"/>
          <w:color w:val="000000" w:themeColor="text1"/>
          <w:sz w:val="24"/>
          <w:szCs w:val="24"/>
          <w:shd w:val="clear" w:color="auto" w:fill="FFFFFF"/>
        </w:rPr>
        <w:t xml:space="preserve"> Г.П., Романченко И.А., Шаталов Е.Б., Ершов Ф.И., </w:t>
      </w:r>
      <w:proofErr w:type="spellStart"/>
      <w:r w:rsidRPr="00A34E01">
        <w:rPr>
          <w:rFonts w:ascii="Arial" w:hAnsi="Arial" w:cs="Arial"/>
          <w:color w:val="000000" w:themeColor="text1"/>
          <w:sz w:val="24"/>
          <w:szCs w:val="24"/>
          <w:shd w:val="clear" w:color="auto" w:fill="FFFFFF"/>
        </w:rPr>
        <w:t>Тазулахова</w:t>
      </w:r>
      <w:proofErr w:type="spellEnd"/>
      <w:r w:rsidRPr="00A34E01">
        <w:rPr>
          <w:rFonts w:ascii="Arial" w:hAnsi="Arial" w:cs="Arial"/>
          <w:color w:val="000000" w:themeColor="text1"/>
          <w:sz w:val="24"/>
          <w:szCs w:val="24"/>
          <w:shd w:val="clear" w:color="auto" w:fill="FFFFFF"/>
        </w:rPr>
        <w:t xml:space="preserve"> Е.Б. Клинические исследования переносимости и интерферон-индуцирующей активности Амиксина. </w:t>
      </w:r>
      <w:proofErr w:type="spellStart"/>
      <w:r w:rsidRPr="00A34E01">
        <w:rPr>
          <w:rFonts w:ascii="Arial" w:hAnsi="Arial" w:cs="Arial"/>
          <w:color w:val="000000" w:themeColor="text1"/>
          <w:sz w:val="24"/>
          <w:szCs w:val="24"/>
          <w:shd w:val="clear" w:color="auto" w:fill="FFFFFF"/>
        </w:rPr>
        <w:t>Вопр</w:t>
      </w:r>
      <w:proofErr w:type="spellEnd"/>
      <w:r w:rsidRPr="00A34E01">
        <w:rPr>
          <w:rFonts w:ascii="Arial" w:hAnsi="Arial" w:cs="Arial"/>
          <w:color w:val="000000" w:themeColor="text1"/>
          <w:sz w:val="24"/>
          <w:szCs w:val="24"/>
          <w:shd w:val="clear" w:color="auto" w:fill="FFFFFF"/>
          <w:lang w:val="en-US"/>
        </w:rPr>
        <w:t xml:space="preserve">. </w:t>
      </w:r>
      <w:proofErr w:type="spellStart"/>
      <w:r w:rsidRPr="00A34E01">
        <w:rPr>
          <w:rFonts w:ascii="Arial" w:hAnsi="Arial" w:cs="Arial"/>
          <w:color w:val="000000" w:themeColor="text1"/>
          <w:sz w:val="24"/>
          <w:szCs w:val="24"/>
          <w:shd w:val="clear" w:color="auto" w:fill="FFFFFF"/>
        </w:rPr>
        <w:t>Вирусол</w:t>
      </w:r>
      <w:proofErr w:type="spellEnd"/>
      <w:r w:rsidRPr="00A34E01">
        <w:rPr>
          <w:rFonts w:ascii="Arial" w:hAnsi="Arial" w:cs="Arial"/>
          <w:color w:val="000000" w:themeColor="text1"/>
          <w:sz w:val="24"/>
          <w:szCs w:val="24"/>
          <w:shd w:val="clear" w:color="auto" w:fill="FFFFFF"/>
          <w:lang w:val="en-US"/>
        </w:rPr>
        <w:t xml:space="preserve"> 1990(5):411-414.</w:t>
      </w:r>
    </w:p>
    <w:p w:rsidR="00EB41AB" w:rsidRPr="00A34E01" w:rsidRDefault="00EB41AB" w:rsidP="00A34E01">
      <w:pPr>
        <w:pStyle w:val="a7"/>
        <w:numPr>
          <w:ilvl w:val="0"/>
          <w:numId w:val="2"/>
        </w:numPr>
        <w:spacing w:after="0" w:line="360" w:lineRule="auto"/>
        <w:ind w:left="0" w:firstLine="0"/>
        <w:jc w:val="both"/>
        <w:rPr>
          <w:rStyle w:val="a4"/>
          <w:rFonts w:ascii="Arial" w:hAnsi="Arial" w:cs="Arial"/>
          <w:i w:val="0"/>
          <w:color w:val="000000" w:themeColor="text1"/>
          <w:sz w:val="24"/>
          <w:szCs w:val="24"/>
          <w:bdr w:val="none" w:sz="0" w:space="0" w:color="auto" w:frame="1"/>
          <w:shd w:val="clear" w:color="auto" w:fill="FFFFFF"/>
        </w:rPr>
      </w:pPr>
      <w:r w:rsidRPr="00A34E01">
        <w:rPr>
          <w:rStyle w:val="a4"/>
          <w:rFonts w:ascii="Arial" w:hAnsi="Arial" w:cs="Arial"/>
          <w:i w:val="0"/>
          <w:color w:val="000000" w:themeColor="text1"/>
          <w:sz w:val="24"/>
          <w:szCs w:val="24"/>
          <w:bdr w:val="none" w:sz="0" w:space="0" w:color="auto" w:frame="1"/>
          <w:shd w:val="clear" w:color="auto" w:fill="FFFFFF"/>
          <w:lang w:val="en-US"/>
        </w:rPr>
        <w:t xml:space="preserve">Andrews E.R., Fleming R.W., </w:t>
      </w:r>
      <w:proofErr w:type="spellStart"/>
      <w:r w:rsidRPr="00A34E01">
        <w:rPr>
          <w:rStyle w:val="a4"/>
          <w:rFonts w:ascii="Arial" w:hAnsi="Arial" w:cs="Arial"/>
          <w:i w:val="0"/>
          <w:color w:val="000000" w:themeColor="text1"/>
          <w:sz w:val="24"/>
          <w:szCs w:val="24"/>
          <w:bdr w:val="none" w:sz="0" w:space="0" w:color="auto" w:frame="1"/>
          <w:shd w:val="clear" w:color="auto" w:fill="FFFFFF"/>
          <w:lang w:val="en-US"/>
        </w:rPr>
        <w:t>Grisar</w:t>
      </w:r>
      <w:proofErr w:type="spellEnd"/>
      <w:r w:rsidRPr="00A34E01">
        <w:rPr>
          <w:rStyle w:val="a4"/>
          <w:rFonts w:ascii="Arial" w:hAnsi="Arial" w:cs="Arial"/>
          <w:i w:val="0"/>
          <w:color w:val="000000" w:themeColor="text1"/>
          <w:sz w:val="24"/>
          <w:szCs w:val="24"/>
          <w:bdr w:val="none" w:sz="0" w:space="0" w:color="auto" w:frame="1"/>
          <w:shd w:val="clear" w:color="auto" w:fill="FFFFFF"/>
          <w:lang w:val="en-US"/>
        </w:rPr>
        <w:t xml:space="preserve"> J. M., </w:t>
      </w:r>
      <w:proofErr w:type="spellStart"/>
      <w:r w:rsidRPr="00A34E01">
        <w:rPr>
          <w:rStyle w:val="a4"/>
          <w:rFonts w:ascii="Arial" w:hAnsi="Arial" w:cs="Arial"/>
          <w:i w:val="0"/>
          <w:color w:val="000000" w:themeColor="text1"/>
          <w:sz w:val="24"/>
          <w:szCs w:val="24"/>
          <w:bdr w:val="none" w:sz="0" w:space="0" w:color="auto" w:frame="1"/>
          <w:shd w:val="clear" w:color="auto" w:fill="FFFFFF"/>
          <w:lang w:val="en-US"/>
        </w:rPr>
        <w:t>Kihm</w:t>
      </w:r>
      <w:proofErr w:type="spellEnd"/>
      <w:r w:rsidRPr="00A34E01">
        <w:rPr>
          <w:rStyle w:val="a4"/>
          <w:rFonts w:ascii="Arial" w:hAnsi="Arial" w:cs="Arial"/>
          <w:i w:val="0"/>
          <w:color w:val="000000" w:themeColor="text1"/>
          <w:sz w:val="24"/>
          <w:szCs w:val="24"/>
          <w:bdr w:val="none" w:sz="0" w:space="0" w:color="auto" w:frame="1"/>
          <w:shd w:val="clear" w:color="auto" w:fill="FFFFFF"/>
          <w:lang w:val="en-US"/>
        </w:rPr>
        <w:t xml:space="preserve"> J.C., </w:t>
      </w:r>
      <w:proofErr w:type="spellStart"/>
      <w:r w:rsidRPr="00A34E01">
        <w:rPr>
          <w:rStyle w:val="a4"/>
          <w:rFonts w:ascii="Arial" w:hAnsi="Arial" w:cs="Arial"/>
          <w:i w:val="0"/>
          <w:color w:val="000000" w:themeColor="text1"/>
          <w:sz w:val="24"/>
          <w:szCs w:val="24"/>
          <w:bdr w:val="none" w:sz="0" w:space="0" w:color="auto" w:frame="1"/>
          <w:shd w:val="clear" w:color="auto" w:fill="FFFFFF"/>
          <w:lang w:val="en-US"/>
        </w:rPr>
        <w:t>Wenstrup</w:t>
      </w:r>
      <w:proofErr w:type="spellEnd"/>
      <w:r w:rsidRPr="00A34E01">
        <w:rPr>
          <w:rStyle w:val="a4"/>
          <w:rFonts w:ascii="Arial" w:hAnsi="Arial" w:cs="Arial"/>
          <w:i w:val="0"/>
          <w:color w:val="000000" w:themeColor="text1"/>
          <w:sz w:val="24"/>
          <w:szCs w:val="24"/>
          <w:bdr w:val="none" w:sz="0" w:space="0" w:color="auto" w:frame="1"/>
          <w:shd w:val="clear" w:color="auto" w:fill="FFFFFF"/>
          <w:lang w:val="en-US"/>
        </w:rPr>
        <w:t xml:space="preserve"> D.L., Mayer G.D. </w:t>
      </w:r>
      <w:proofErr w:type="spellStart"/>
      <w:r w:rsidRPr="00A34E01">
        <w:rPr>
          <w:rStyle w:val="a4"/>
          <w:rFonts w:ascii="Arial" w:hAnsi="Arial" w:cs="Arial"/>
          <w:i w:val="0"/>
          <w:color w:val="000000" w:themeColor="text1"/>
          <w:sz w:val="24"/>
          <w:szCs w:val="24"/>
          <w:bdr w:val="none" w:sz="0" w:space="0" w:color="auto" w:frame="1"/>
          <w:shd w:val="clear" w:color="auto" w:fill="FFFFFF"/>
          <w:lang w:val="en-US"/>
        </w:rPr>
        <w:t>Bis</w:t>
      </w:r>
      <w:proofErr w:type="spellEnd"/>
      <w:r w:rsidRPr="00A34E01">
        <w:rPr>
          <w:rStyle w:val="a4"/>
          <w:rFonts w:ascii="Arial" w:hAnsi="Arial" w:cs="Arial"/>
          <w:i w:val="0"/>
          <w:color w:val="000000" w:themeColor="text1"/>
          <w:sz w:val="24"/>
          <w:szCs w:val="24"/>
          <w:bdr w:val="none" w:sz="0" w:space="0" w:color="auto" w:frame="1"/>
          <w:shd w:val="clear" w:color="auto" w:fill="FFFFFF"/>
          <w:lang w:val="en-US"/>
        </w:rPr>
        <w:t xml:space="preserve"> basic-substituted polycyclic aromatic compounds. New class of antiviral agents. 2. </w:t>
      </w:r>
      <w:proofErr w:type="spellStart"/>
      <w:r w:rsidRPr="00A34E01">
        <w:rPr>
          <w:rStyle w:val="a4"/>
          <w:rFonts w:ascii="Arial" w:hAnsi="Arial" w:cs="Arial"/>
          <w:i w:val="0"/>
          <w:color w:val="000000" w:themeColor="text1"/>
          <w:sz w:val="24"/>
          <w:szCs w:val="24"/>
          <w:bdr w:val="none" w:sz="0" w:space="0" w:color="auto" w:frame="1"/>
          <w:shd w:val="clear" w:color="auto" w:fill="FFFFFF"/>
          <w:lang w:val="en-US"/>
        </w:rPr>
        <w:t>Tilorone</w:t>
      </w:r>
      <w:proofErr w:type="spellEnd"/>
      <w:r w:rsidRPr="00A34E01">
        <w:rPr>
          <w:rStyle w:val="a4"/>
          <w:rFonts w:ascii="Arial" w:hAnsi="Arial" w:cs="Arial"/>
          <w:i w:val="0"/>
          <w:color w:val="000000" w:themeColor="text1"/>
          <w:sz w:val="24"/>
          <w:szCs w:val="24"/>
          <w:bdr w:val="none" w:sz="0" w:space="0" w:color="auto" w:frame="1"/>
          <w:shd w:val="clear" w:color="auto" w:fill="FFFFFF"/>
          <w:lang w:val="en-US"/>
        </w:rPr>
        <w:t xml:space="preserve"> and related </w:t>
      </w:r>
      <w:proofErr w:type="spellStart"/>
      <w:r w:rsidRPr="00A34E01">
        <w:rPr>
          <w:rStyle w:val="a4"/>
          <w:rFonts w:ascii="Arial" w:hAnsi="Arial" w:cs="Arial"/>
          <w:i w:val="0"/>
          <w:color w:val="000000" w:themeColor="text1"/>
          <w:sz w:val="24"/>
          <w:szCs w:val="24"/>
          <w:bdr w:val="none" w:sz="0" w:space="0" w:color="auto" w:frame="1"/>
          <w:shd w:val="clear" w:color="auto" w:fill="FFFFFF"/>
          <w:lang w:val="en-US"/>
        </w:rPr>
        <w:t>bis</w:t>
      </w:r>
      <w:proofErr w:type="spellEnd"/>
      <w:r w:rsidRPr="00A34E01">
        <w:rPr>
          <w:rStyle w:val="a4"/>
          <w:rFonts w:ascii="Arial" w:hAnsi="Arial" w:cs="Arial"/>
          <w:i w:val="0"/>
          <w:color w:val="000000" w:themeColor="text1"/>
          <w:sz w:val="24"/>
          <w:szCs w:val="24"/>
          <w:bdr w:val="none" w:sz="0" w:space="0" w:color="auto" w:frame="1"/>
          <w:shd w:val="clear" w:color="auto" w:fill="FFFFFF"/>
          <w:lang w:val="en-US"/>
        </w:rPr>
        <w:t xml:space="preserve">-basic ethers of </w:t>
      </w:r>
      <w:proofErr w:type="spellStart"/>
      <w:r w:rsidRPr="00A34E01">
        <w:rPr>
          <w:rStyle w:val="a4"/>
          <w:rFonts w:ascii="Arial" w:hAnsi="Arial" w:cs="Arial"/>
          <w:i w:val="0"/>
          <w:color w:val="000000" w:themeColor="text1"/>
          <w:sz w:val="24"/>
          <w:szCs w:val="24"/>
          <w:bdr w:val="none" w:sz="0" w:space="0" w:color="auto" w:frame="1"/>
          <w:shd w:val="clear" w:color="auto" w:fill="FFFFFF"/>
          <w:lang w:val="en-US"/>
        </w:rPr>
        <w:t>fluorenone</w:t>
      </w:r>
      <w:proofErr w:type="spellEnd"/>
      <w:r w:rsidRPr="00A34E01">
        <w:rPr>
          <w:rStyle w:val="a4"/>
          <w:rFonts w:ascii="Arial" w:hAnsi="Arial" w:cs="Arial"/>
          <w:i w:val="0"/>
          <w:color w:val="000000" w:themeColor="text1"/>
          <w:sz w:val="24"/>
          <w:szCs w:val="24"/>
          <w:bdr w:val="none" w:sz="0" w:space="0" w:color="auto" w:frame="1"/>
          <w:shd w:val="clear" w:color="auto" w:fill="FFFFFF"/>
          <w:lang w:val="en-US"/>
        </w:rPr>
        <w:t xml:space="preserve">, </w:t>
      </w:r>
      <w:proofErr w:type="spellStart"/>
      <w:r w:rsidRPr="00A34E01">
        <w:rPr>
          <w:rStyle w:val="a4"/>
          <w:rFonts w:ascii="Arial" w:hAnsi="Arial" w:cs="Arial"/>
          <w:i w:val="0"/>
          <w:color w:val="000000" w:themeColor="text1"/>
          <w:sz w:val="24"/>
          <w:szCs w:val="24"/>
          <w:bdr w:val="none" w:sz="0" w:space="0" w:color="auto" w:frame="1"/>
          <w:shd w:val="clear" w:color="auto" w:fill="FFFFFF"/>
          <w:lang w:val="en-US"/>
        </w:rPr>
        <w:t>fluorenol</w:t>
      </w:r>
      <w:proofErr w:type="spellEnd"/>
      <w:r w:rsidRPr="00A34E01">
        <w:rPr>
          <w:rStyle w:val="a4"/>
          <w:rFonts w:ascii="Arial" w:hAnsi="Arial" w:cs="Arial"/>
          <w:i w:val="0"/>
          <w:color w:val="000000" w:themeColor="text1"/>
          <w:sz w:val="24"/>
          <w:szCs w:val="24"/>
          <w:bdr w:val="none" w:sz="0" w:space="0" w:color="auto" w:frame="1"/>
          <w:shd w:val="clear" w:color="auto" w:fill="FFFFFF"/>
          <w:lang w:val="en-US"/>
        </w:rPr>
        <w:t>, and fluorine. J</w:t>
      </w:r>
      <w:r w:rsidRPr="00A34E01">
        <w:rPr>
          <w:rStyle w:val="a4"/>
          <w:rFonts w:ascii="Arial" w:hAnsi="Arial" w:cs="Arial"/>
          <w:i w:val="0"/>
          <w:color w:val="000000" w:themeColor="text1"/>
          <w:sz w:val="24"/>
          <w:szCs w:val="24"/>
          <w:bdr w:val="none" w:sz="0" w:space="0" w:color="auto" w:frame="1"/>
          <w:shd w:val="clear" w:color="auto" w:fill="FFFFFF"/>
        </w:rPr>
        <w:t xml:space="preserve"> </w:t>
      </w:r>
      <w:r w:rsidRPr="00A34E01">
        <w:rPr>
          <w:rStyle w:val="a4"/>
          <w:rFonts w:ascii="Arial" w:hAnsi="Arial" w:cs="Arial"/>
          <w:i w:val="0"/>
          <w:color w:val="000000" w:themeColor="text1"/>
          <w:sz w:val="24"/>
          <w:szCs w:val="24"/>
          <w:bdr w:val="none" w:sz="0" w:space="0" w:color="auto" w:frame="1"/>
          <w:shd w:val="clear" w:color="auto" w:fill="FFFFFF"/>
          <w:lang w:val="en-US"/>
        </w:rPr>
        <w:t>Med</w:t>
      </w:r>
      <w:r w:rsidRPr="00A34E01">
        <w:rPr>
          <w:rStyle w:val="a4"/>
          <w:rFonts w:ascii="Arial" w:hAnsi="Arial" w:cs="Arial"/>
          <w:i w:val="0"/>
          <w:color w:val="000000" w:themeColor="text1"/>
          <w:sz w:val="24"/>
          <w:szCs w:val="24"/>
          <w:bdr w:val="none" w:sz="0" w:space="0" w:color="auto" w:frame="1"/>
          <w:shd w:val="clear" w:color="auto" w:fill="FFFFFF"/>
        </w:rPr>
        <w:t xml:space="preserve"> </w:t>
      </w:r>
      <w:proofErr w:type="spellStart"/>
      <w:r w:rsidRPr="00A34E01">
        <w:rPr>
          <w:rStyle w:val="a4"/>
          <w:rFonts w:ascii="Arial" w:hAnsi="Arial" w:cs="Arial"/>
          <w:i w:val="0"/>
          <w:color w:val="000000" w:themeColor="text1"/>
          <w:sz w:val="24"/>
          <w:szCs w:val="24"/>
          <w:bdr w:val="none" w:sz="0" w:space="0" w:color="auto" w:frame="1"/>
          <w:shd w:val="clear" w:color="auto" w:fill="FFFFFF"/>
          <w:lang w:val="en-US"/>
        </w:rPr>
        <w:t>Chem</w:t>
      </w:r>
      <w:proofErr w:type="spellEnd"/>
      <w:r w:rsidR="00A34E01" w:rsidRPr="00A34E01">
        <w:rPr>
          <w:rStyle w:val="a4"/>
          <w:rFonts w:ascii="Arial" w:hAnsi="Arial" w:cs="Arial"/>
          <w:i w:val="0"/>
          <w:color w:val="000000" w:themeColor="text1"/>
          <w:sz w:val="24"/>
          <w:szCs w:val="24"/>
          <w:bdr w:val="none" w:sz="0" w:space="0" w:color="auto" w:frame="1"/>
          <w:shd w:val="clear" w:color="auto" w:fill="FFFFFF"/>
        </w:rPr>
        <w:t xml:space="preserve"> 1974;</w:t>
      </w:r>
      <w:r w:rsidRPr="00A34E01">
        <w:rPr>
          <w:rStyle w:val="a4"/>
          <w:rFonts w:ascii="Arial" w:hAnsi="Arial" w:cs="Arial"/>
          <w:i w:val="0"/>
          <w:color w:val="000000" w:themeColor="text1"/>
          <w:sz w:val="24"/>
          <w:szCs w:val="24"/>
          <w:bdr w:val="none" w:sz="0" w:space="0" w:color="auto" w:frame="1"/>
          <w:shd w:val="clear" w:color="auto" w:fill="FFFFFF"/>
        </w:rPr>
        <w:t xml:space="preserve">17(8): 882-886. </w:t>
      </w:r>
      <w:r w:rsidRPr="00A34E01">
        <w:rPr>
          <w:rStyle w:val="a4"/>
          <w:rFonts w:ascii="Arial" w:hAnsi="Arial" w:cs="Arial"/>
          <w:i w:val="0"/>
          <w:color w:val="000000" w:themeColor="text1"/>
          <w:sz w:val="24"/>
          <w:szCs w:val="24"/>
          <w:bdr w:val="none" w:sz="0" w:space="0" w:color="auto" w:frame="1"/>
          <w:shd w:val="clear" w:color="auto" w:fill="FFFFFF"/>
          <w:lang w:val="en-US"/>
        </w:rPr>
        <w:t>DOI</w:t>
      </w:r>
      <w:r w:rsidRPr="00A34E01">
        <w:rPr>
          <w:rStyle w:val="a4"/>
          <w:rFonts w:ascii="Arial" w:hAnsi="Arial" w:cs="Arial"/>
          <w:i w:val="0"/>
          <w:color w:val="000000" w:themeColor="text1"/>
          <w:sz w:val="24"/>
          <w:szCs w:val="24"/>
          <w:bdr w:val="none" w:sz="0" w:space="0" w:color="auto" w:frame="1"/>
          <w:shd w:val="clear" w:color="auto" w:fill="FFFFFF"/>
        </w:rPr>
        <w:t>: 10.1021/</w:t>
      </w:r>
      <w:proofErr w:type="spellStart"/>
      <w:r w:rsidRPr="00A34E01">
        <w:rPr>
          <w:rStyle w:val="a4"/>
          <w:rFonts w:ascii="Arial" w:hAnsi="Arial" w:cs="Arial"/>
          <w:i w:val="0"/>
          <w:color w:val="000000" w:themeColor="text1"/>
          <w:sz w:val="24"/>
          <w:szCs w:val="24"/>
          <w:bdr w:val="none" w:sz="0" w:space="0" w:color="auto" w:frame="1"/>
          <w:shd w:val="clear" w:color="auto" w:fill="FFFFFF"/>
          <w:lang w:val="en-US"/>
        </w:rPr>
        <w:t>jm</w:t>
      </w:r>
      <w:proofErr w:type="spellEnd"/>
      <w:r w:rsidRPr="00A34E01">
        <w:rPr>
          <w:rStyle w:val="a4"/>
          <w:rFonts w:ascii="Arial" w:hAnsi="Arial" w:cs="Arial"/>
          <w:i w:val="0"/>
          <w:color w:val="000000" w:themeColor="text1"/>
          <w:sz w:val="24"/>
          <w:szCs w:val="24"/>
          <w:bdr w:val="none" w:sz="0" w:space="0" w:color="auto" w:frame="1"/>
          <w:shd w:val="clear" w:color="auto" w:fill="FFFFFF"/>
        </w:rPr>
        <w:t>00254</w:t>
      </w:r>
      <w:r w:rsidRPr="00A34E01">
        <w:rPr>
          <w:rStyle w:val="a4"/>
          <w:rFonts w:ascii="Arial" w:hAnsi="Arial" w:cs="Arial"/>
          <w:i w:val="0"/>
          <w:color w:val="000000" w:themeColor="text1"/>
          <w:sz w:val="24"/>
          <w:szCs w:val="24"/>
          <w:bdr w:val="none" w:sz="0" w:space="0" w:color="auto" w:frame="1"/>
          <w:shd w:val="clear" w:color="auto" w:fill="FFFFFF"/>
          <w:lang w:val="en-US"/>
        </w:rPr>
        <w:t>a</w:t>
      </w:r>
      <w:r w:rsidRPr="00A34E01">
        <w:rPr>
          <w:rStyle w:val="a4"/>
          <w:rFonts w:ascii="Arial" w:hAnsi="Arial" w:cs="Arial"/>
          <w:i w:val="0"/>
          <w:color w:val="000000" w:themeColor="text1"/>
          <w:sz w:val="24"/>
          <w:szCs w:val="24"/>
          <w:bdr w:val="none" w:sz="0" w:space="0" w:color="auto" w:frame="1"/>
          <w:shd w:val="clear" w:color="auto" w:fill="FFFFFF"/>
        </w:rPr>
        <w:t>020.</w:t>
      </w:r>
    </w:p>
    <w:p w:rsidR="00EB41AB" w:rsidRPr="00A34E01" w:rsidRDefault="00EB41AB" w:rsidP="00A34E01">
      <w:pPr>
        <w:pStyle w:val="p"/>
        <w:numPr>
          <w:ilvl w:val="0"/>
          <w:numId w:val="2"/>
        </w:numPr>
        <w:shd w:val="clear" w:color="auto" w:fill="FFFFFF"/>
        <w:spacing w:before="0" w:beforeAutospacing="0" w:after="0" w:afterAutospacing="0" w:line="360" w:lineRule="auto"/>
        <w:ind w:left="0" w:firstLine="0"/>
        <w:jc w:val="both"/>
        <w:rPr>
          <w:rFonts w:ascii="Arial" w:hAnsi="Arial" w:cs="Arial"/>
          <w:color w:val="000000" w:themeColor="text1"/>
          <w:lang w:val="en-US"/>
        </w:rPr>
      </w:pPr>
      <w:r w:rsidRPr="00A34E01">
        <w:rPr>
          <w:rFonts w:ascii="Arial" w:hAnsi="Arial" w:cs="Arial"/>
          <w:color w:val="000000" w:themeColor="text1"/>
          <w:lang w:val="en-US"/>
        </w:rPr>
        <w:t xml:space="preserve">Ekins S., Lane T.R., Madrid P.B. </w:t>
      </w:r>
      <w:proofErr w:type="spellStart"/>
      <w:r w:rsidRPr="00A34E01">
        <w:rPr>
          <w:rFonts w:ascii="Arial" w:hAnsi="Arial" w:cs="Arial"/>
          <w:color w:val="000000" w:themeColor="text1"/>
          <w:lang w:val="en-US"/>
        </w:rPr>
        <w:t>Tilorone</w:t>
      </w:r>
      <w:proofErr w:type="spellEnd"/>
      <w:r w:rsidRPr="00A34E01">
        <w:rPr>
          <w:rFonts w:ascii="Arial" w:hAnsi="Arial" w:cs="Arial"/>
          <w:color w:val="000000" w:themeColor="text1"/>
          <w:lang w:val="en-US"/>
        </w:rPr>
        <w:t xml:space="preserve">: a Broad-Spectrum Antiviral Invented in the USA and Commercialized </w:t>
      </w:r>
      <w:r w:rsidR="00A34E01" w:rsidRPr="00A34E01">
        <w:rPr>
          <w:rFonts w:ascii="Arial" w:hAnsi="Arial" w:cs="Arial"/>
          <w:color w:val="000000" w:themeColor="text1"/>
          <w:lang w:val="en-US"/>
        </w:rPr>
        <w:t>in Russia and beyond. Pharm Res</w:t>
      </w:r>
      <w:r w:rsidRPr="00A34E01">
        <w:rPr>
          <w:rFonts w:ascii="Arial" w:hAnsi="Arial" w:cs="Arial"/>
          <w:color w:val="000000" w:themeColor="text1"/>
          <w:lang w:val="en-US"/>
        </w:rPr>
        <w:t xml:space="preserve"> 2020;37(4):71. DOI:10.1007/s11095-020-02799-8.</w:t>
      </w:r>
    </w:p>
    <w:p w:rsidR="00CC1689" w:rsidRPr="00A34E01" w:rsidRDefault="00CC1689" w:rsidP="00A34E01">
      <w:pPr>
        <w:pStyle w:val="a7"/>
        <w:numPr>
          <w:ilvl w:val="0"/>
          <w:numId w:val="2"/>
        </w:numPr>
        <w:spacing w:after="0" w:line="360" w:lineRule="auto"/>
        <w:ind w:left="0" w:firstLine="0"/>
        <w:jc w:val="both"/>
        <w:rPr>
          <w:rFonts w:ascii="Arial" w:hAnsi="Arial" w:cs="Arial"/>
          <w:color w:val="000000" w:themeColor="text1"/>
          <w:sz w:val="24"/>
          <w:szCs w:val="24"/>
          <w:shd w:val="clear" w:color="auto" w:fill="FFFFFF"/>
          <w:lang w:val="en-US"/>
        </w:rPr>
      </w:pPr>
      <w:r w:rsidRPr="00A34E01">
        <w:rPr>
          <w:rStyle w:val="mixed-citation"/>
          <w:rFonts w:ascii="Arial" w:hAnsi="Arial" w:cs="Arial"/>
          <w:color w:val="000000" w:themeColor="text1"/>
          <w:sz w:val="24"/>
          <w:szCs w:val="24"/>
          <w:lang w:val="en-US"/>
        </w:rPr>
        <w:t xml:space="preserve">Ekins S., Madrid P.B. </w:t>
      </w:r>
      <w:proofErr w:type="spellStart"/>
      <w:r w:rsidRPr="00A34E01">
        <w:rPr>
          <w:rStyle w:val="mixed-citation"/>
          <w:rFonts w:ascii="Arial" w:hAnsi="Arial" w:cs="Arial"/>
          <w:color w:val="000000" w:themeColor="text1"/>
          <w:sz w:val="24"/>
          <w:szCs w:val="24"/>
          <w:lang w:val="en-US"/>
        </w:rPr>
        <w:t>Tilorone</w:t>
      </w:r>
      <w:proofErr w:type="spellEnd"/>
      <w:r w:rsidRPr="00A34E01">
        <w:rPr>
          <w:rStyle w:val="mixed-citation"/>
          <w:rFonts w:ascii="Arial" w:hAnsi="Arial" w:cs="Arial"/>
          <w:color w:val="000000" w:themeColor="text1"/>
          <w:sz w:val="24"/>
          <w:szCs w:val="24"/>
          <w:lang w:val="en-US"/>
        </w:rPr>
        <w:t xml:space="preserve">: A broad-spectrum antiviral for emerging viruses. Antimicrobial Agents </w:t>
      </w:r>
      <w:proofErr w:type="spellStart"/>
      <w:r w:rsidRPr="00A34E01">
        <w:rPr>
          <w:rStyle w:val="mixed-citation"/>
          <w:rFonts w:ascii="Arial" w:hAnsi="Arial" w:cs="Arial"/>
          <w:color w:val="000000" w:themeColor="text1"/>
          <w:sz w:val="24"/>
          <w:szCs w:val="24"/>
          <w:lang w:val="en-US"/>
        </w:rPr>
        <w:t>Chemother</w:t>
      </w:r>
      <w:proofErr w:type="spellEnd"/>
      <w:r w:rsidRPr="00A34E01">
        <w:rPr>
          <w:rStyle w:val="mixed-citation"/>
          <w:rFonts w:ascii="Arial" w:hAnsi="Arial" w:cs="Arial"/>
          <w:color w:val="000000" w:themeColor="text1"/>
          <w:sz w:val="24"/>
          <w:szCs w:val="24"/>
          <w:lang w:val="en-US"/>
        </w:rPr>
        <w:t>, In press. 2020 Preprint. 10.1101/2020.03.09.984856</w:t>
      </w:r>
      <w:r w:rsidRPr="00A34E01">
        <w:rPr>
          <w:rStyle w:val="mixed-citation"/>
          <w:rFonts w:ascii="Arial" w:hAnsi="Arial" w:cs="Arial"/>
          <w:color w:val="000000" w:themeColor="text1"/>
          <w:sz w:val="24"/>
          <w:szCs w:val="24"/>
        </w:rPr>
        <w:t>.</w:t>
      </w:r>
    </w:p>
    <w:p w:rsidR="00EB41AB" w:rsidRPr="00A34E01" w:rsidRDefault="00EB41AB" w:rsidP="00A34E01">
      <w:pPr>
        <w:pStyle w:val="a7"/>
        <w:numPr>
          <w:ilvl w:val="0"/>
          <w:numId w:val="2"/>
        </w:numPr>
        <w:spacing w:after="0" w:line="360" w:lineRule="auto"/>
        <w:ind w:left="0" w:firstLine="0"/>
        <w:jc w:val="both"/>
        <w:rPr>
          <w:rFonts w:ascii="Arial" w:hAnsi="Arial" w:cs="Arial"/>
          <w:color w:val="000000" w:themeColor="text1"/>
          <w:sz w:val="24"/>
          <w:szCs w:val="24"/>
          <w:lang w:val="en-US"/>
        </w:rPr>
      </w:pPr>
      <w:r w:rsidRPr="00A34E01">
        <w:rPr>
          <w:rFonts w:ascii="Arial" w:hAnsi="Arial" w:cs="Arial"/>
          <w:color w:val="000000" w:themeColor="text1"/>
          <w:sz w:val="24"/>
          <w:szCs w:val="24"/>
          <w:lang w:val="en-US"/>
        </w:rPr>
        <w:t xml:space="preserve">Fehr A.R., Perlman S. Coronaviruses: An Overview of Their Replication and Pathogenesis. In Coronaviruses Methods and Protocols, ed. by H. J. Maier, E. </w:t>
      </w:r>
      <w:proofErr w:type="spellStart"/>
      <w:r w:rsidRPr="00A34E01">
        <w:rPr>
          <w:rFonts w:ascii="Arial" w:hAnsi="Arial" w:cs="Arial"/>
          <w:color w:val="000000" w:themeColor="text1"/>
          <w:sz w:val="24"/>
          <w:szCs w:val="24"/>
          <w:lang w:val="en-US"/>
        </w:rPr>
        <w:t>Bickerton</w:t>
      </w:r>
      <w:proofErr w:type="spellEnd"/>
      <w:r w:rsidRPr="00A34E01">
        <w:rPr>
          <w:rFonts w:ascii="Arial" w:hAnsi="Arial" w:cs="Arial"/>
          <w:color w:val="000000" w:themeColor="text1"/>
          <w:sz w:val="24"/>
          <w:szCs w:val="24"/>
          <w:lang w:val="en-US"/>
        </w:rPr>
        <w:t xml:space="preserve">, P. Britton, Humana Press, New York, 2015: 1-23. DOI: </w:t>
      </w:r>
      <w:r w:rsidRPr="00A34E01">
        <w:rPr>
          <w:rFonts w:ascii="Arial" w:hAnsi="Arial" w:cs="Arial"/>
          <w:color w:val="000000" w:themeColor="text1"/>
          <w:sz w:val="24"/>
          <w:szCs w:val="24"/>
          <w:shd w:val="clear" w:color="auto" w:fill="FFFFFF"/>
        </w:rPr>
        <w:t>10.1007/978-</w:t>
      </w:r>
      <w:r w:rsidRPr="00A34E01">
        <w:rPr>
          <w:rFonts w:ascii="Arial" w:hAnsi="Arial" w:cs="Arial"/>
          <w:b/>
          <w:bCs/>
          <w:color w:val="000000" w:themeColor="text1"/>
          <w:sz w:val="24"/>
          <w:szCs w:val="24"/>
          <w:shd w:val="clear" w:color="auto" w:fill="FFFFFF"/>
        </w:rPr>
        <w:t>1</w:t>
      </w:r>
      <w:r w:rsidRPr="00A34E01">
        <w:rPr>
          <w:rFonts w:ascii="Arial" w:hAnsi="Arial" w:cs="Arial"/>
          <w:color w:val="000000" w:themeColor="text1"/>
          <w:sz w:val="24"/>
          <w:szCs w:val="24"/>
          <w:shd w:val="clear" w:color="auto" w:fill="FFFFFF"/>
        </w:rPr>
        <w:t>-4939-2438-7_</w:t>
      </w:r>
      <w:r w:rsidRPr="00A34E01">
        <w:rPr>
          <w:rFonts w:ascii="Arial" w:hAnsi="Arial" w:cs="Arial"/>
          <w:b/>
          <w:bCs/>
          <w:color w:val="000000" w:themeColor="text1"/>
          <w:sz w:val="24"/>
          <w:szCs w:val="24"/>
          <w:shd w:val="clear" w:color="auto" w:fill="FFFFFF"/>
        </w:rPr>
        <w:t>1</w:t>
      </w:r>
      <w:r w:rsidRPr="00A34E01">
        <w:rPr>
          <w:rFonts w:ascii="Arial" w:hAnsi="Arial" w:cs="Arial"/>
          <w:b/>
          <w:bCs/>
          <w:color w:val="000000" w:themeColor="text1"/>
          <w:sz w:val="24"/>
          <w:szCs w:val="24"/>
          <w:shd w:val="clear" w:color="auto" w:fill="FFFFFF"/>
          <w:lang w:val="en-US"/>
        </w:rPr>
        <w:t>.</w:t>
      </w:r>
    </w:p>
    <w:p w:rsidR="00EB41AB" w:rsidRPr="00A34E01" w:rsidRDefault="00EB41AB" w:rsidP="00A34E01">
      <w:pPr>
        <w:pStyle w:val="a7"/>
        <w:numPr>
          <w:ilvl w:val="0"/>
          <w:numId w:val="2"/>
        </w:numPr>
        <w:spacing w:after="0" w:line="360" w:lineRule="auto"/>
        <w:ind w:left="0" w:firstLine="0"/>
        <w:jc w:val="both"/>
        <w:rPr>
          <w:rFonts w:ascii="Arial" w:hAnsi="Arial" w:cs="Arial"/>
          <w:color w:val="000000" w:themeColor="text1"/>
          <w:sz w:val="24"/>
          <w:szCs w:val="24"/>
          <w:lang w:val="en-US"/>
        </w:rPr>
      </w:pPr>
      <w:proofErr w:type="spellStart"/>
      <w:r w:rsidRPr="00A34E01">
        <w:rPr>
          <w:rFonts w:ascii="Arial" w:hAnsi="Arial" w:cs="Arial"/>
          <w:color w:val="000000" w:themeColor="text1"/>
          <w:sz w:val="24"/>
          <w:szCs w:val="24"/>
          <w:lang w:val="en-US"/>
        </w:rPr>
        <w:t>Gorbalenya</w:t>
      </w:r>
      <w:proofErr w:type="spellEnd"/>
      <w:r w:rsidRPr="00A34E01">
        <w:rPr>
          <w:rFonts w:ascii="Arial" w:hAnsi="Arial" w:cs="Arial"/>
          <w:color w:val="000000" w:themeColor="text1"/>
          <w:sz w:val="24"/>
          <w:szCs w:val="24"/>
          <w:lang w:val="en-US"/>
        </w:rPr>
        <w:t xml:space="preserve"> A.E., Baker S.C., Baric R.S. et al. The species Severe acute respiratory syndrome-related coronavirus: classifying 2019-nCoV and naming it SARS-CoV-2. Nat </w:t>
      </w:r>
      <w:proofErr w:type="spellStart"/>
      <w:r w:rsidRPr="00A34E01">
        <w:rPr>
          <w:rFonts w:ascii="Arial" w:hAnsi="Arial" w:cs="Arial"/>
          <w:color w:val="000000" w:themeColor="text1"/>
          <w:sz w:val="24"/>
          <w:szCs w:val="24"/>
          <w:lang w:val="en-US"/>
        </w:rPr>
        <w:t>Microbiol</w:t>
      </w:r>
      <w:proofErr w:type="spellEnd"/>
      <w:r w:rsidRPr="00A34E01">
        <w:rPr>
          <w:rFonts w:ascii="Arial" w:hAnsi="Arial" w:cs="Arial"/>
          <w:color w:val="000000" w:themeColor="text1"/>
          <w:sz w:val="24"/>
          <w:szCs w:val="24"/>
          <w:lang w:val="en-US"/>
        </w:rPr>
        <w:t xml:space="preserve"> 2020; (5):536–544. </w:t>
      </w:r>
      <w:hyperlink r:id="rId5" w:history="1">
        <w:r w:rsidRPr="00A34E01">
          <w:rPr>
            <w:rStyle w:val="a5"/>
            <w:rFonts w:ascii="Arial" w:hAnsi="Arial" w:cs="Arial"/>
            <w:color w:val="000000" w:themeColor="text1"/>
            <w:sz w:val="24"/>
            <w:szCs w:val="24"/>
            <w:u w:val="none"/>
            <w:lang w:val="en-US"/>
          </w:rPr>
          <w:t>DOI: 10.1038/s41564-020-0695-z</w:t>
        </w:r>
      </w:hyperlink>
      <w:r w:rsidRPr="00A34E01">
        <w:rPr>
          <w:rFonts w:ascii="Arial" w:hAnsi="Arial" w:cs="Arial"/>
          <w:color w:val="000000" w:themeColor="text1"/>
          <w:sz w:val="24"/>
          <w:szCs w:val="24"/>
          <w:lang w:val="en-US"/>
        </w:rPr>
        <w:t>.</w:t>
      </w:r>
    </w:p>
    <w:p w:rsidR="00884538" w:rsidRPr="00A34E01" w:rsidRDefault="00884538" w:rsidP="00A34E01">
      <w:pPr>
        <w:pStyle w:val="a7"/>
        <w:numPr>
          <w:ilvl w:val="0"/>
          <w:numId w:val="2"/>
        </w:numPr>
        <w:spacing w:after="0" w:line="360" w:lineRule="auto"/>
        <w:ind w:left="0" w:firstLine="0"/>
        <w:jc w:val="both"/>
        <w:rPr>
          <w:rFonts w:ascii="Arial" w:hAnsi="Arial" w:cs="Arial"/>
          <w:color w:val="000000" w:themeColor="text1"/>
          <w:sz w:val="24"/>
          <w:szCs w:val="24"/>
          <w:lang w:val="en-US"/>
        </w:rPr>
      </w:pPr>
      <w:proofErr w:type="spellStart"/>
      <w:r w:rsidRPr="00A34E01">
        <w:rPr>
          <w:rFonts w:ascii="Arial" w:eastAsia="Times New Roman" w:hAnsi="Arial" w:cs="Arial"/>
          <w:iCs/>
          <w:color w:val="000000" w:themeColor="text1"/>
          <w:sz w:val="24"/>
          <w:szCs w:val="24"/>
          <w:lang w:val="en-US" w:eastAsia="ru-RU"/>
        </w:rPr>
        <w:t>Furuyama</w:t>
      </w:r>
      <w:proofErr w:type="spellEnd"/>
      <w:r w:rsidRPr="00A34E01">
        <w:rPr>
          <w:rFonts w:ascii="Arial" w:eastAsia="Times New Roman" w:hAnsi="Arial" w:cs="Arial"/>
          <w:iCs/>
          <w:color w:val="000000" w:themeColor="text1"/>
          <w:sz w:val="24"/>
          <w:szCs w:val="24"/>
          <w:lang w:val="en-US" w:eastAsia="ru-RU"/>
        </w:rPr>
        <w:t xml:space="preserve"> W., </w:t>
      </w:r>
      <w:proofErr w:type="spellStart"/>
      <w:r w:rsidRPr="00A34E01">
        <w:rPr>
          <w:rFonts w:ascii="Arial" w:eastAsia="Times New Roman" w:hAnsi="Arial" w:cs="Arial"/>
          <w:iCs/>
          <w:color w:val="000000" w:themeColor="text1"/>
          <w:sz w:val="24"/>
          <w:szCs w:val="24"/>
          <w:lang w:val="en-US" w:eastAsia="ru-RU"/>
        </w:rPr>
        <w:t>Marzi</w:t>
      </w:r>
      <w:proofErr w:type="spellEnd"/>
      <w:r w:rsidRPr="00A34E01">
        <w:rPr>
          <w:rFonts w:ascii="Arial" w:eastAsia="Times New Roman" w:hAnsi="Arial" w:cs="Arial"/>
          <w:iCs/>
          <w:color w:val="000000" w:themeColor="text1"/>
          <w:sz w:val="24"/>
          <w:szCs w:val="24"/>
          <w:lang w:val="en-US" w:eastAsia="ru-RU"/>
        </w:rPr>
        <w:t xml:space="preserve"> A. </w:t>
      </w:r>
      <w:r w:rsidRPr="00A34E01">
        <w:rPr>
          <w:rFonts w:ascii="Arial" w:eastAsia="Times New Roman" w:hAnsi="Arial" w:cs="Arial"/>
          <w:color w:val="000000" w:themeColor="text1"/>
          <w:sz w:val="24"/>
          <w:szCs w:val="24"/>
          <w:shd w:val="clear" w:color="auto" w:fill="FFFFFF"/>
          <w:lang w:val="en-US" w:eastAsia="ru-RU"/>
        </w:rPr>
        <w:t xml:space="preserve">Ebola Virus: Pathogenesis and Countermeasure Development. </w:t>
      </w:r>
      <w:proofErr w:type="spellStart"/>
      <w:r w:rsidR="00A34E01" w:rsidRPr="00A34E01">
        <w:rPr>
          <w:rFonts w:ascii="Arial" w:eastAsia="Times New Roman" w:hAnsi="Arial" w:cs="Arial"/>
          <w:iCs/>
          <w:color w:val="000000" w:themeColor="text1"/>
          <w:sz w:val="24"/>
          <w:szCs w:val="24"/>
          <w:lang w:val="en-US" w:eastAsia="ru-RU"/>
        </w:rPr>
        <w:t>Annu</w:t>
      </w:r>
      <w:proofErr w:type="spellEnd"/>
      <w:r w:rsidR="00A34E01" w:rsidRPr="00A34E01">
        <w:rPr>
          <w:rFonts w:ascii="Arial" w:eastAsia="Times New Roman" w:hAnsi="Arial" w:cs="Arial"/>
          <w:iCs/>
          <w:color w:val="000000" w:themeColor="text1"/>
          <w:sz w:val="24"/>
          <w:szCs w:val="24"/>
          <w:lang w:val="en-US" w:eastAsia="ru-RU"/>
        </w:rPr>
        <w:t xml:space="preserve"> Rev </w:t>
      </w:r>
      <w:proofErr w:type="spellStart"/>
      <w:r w:rsidR="00A34E01" w:rsidRPr="00A34E01">
        <w:rPr>
          <w:rFonts w:ascii="Arial" w:eastAsia="Times New Roman" w:hAnsi="Arial" w:cs="Arial"/>
          <w:iCs/>
          <w:color w:val="000000" w:themeColor="text1"/>
          <w:sz w:val="24"/>
          <w:szCs w:val="24"/>
          <w:lang w:val="en-US" w:eastAsia="ru-RU"/>
        </w:rPr>
        <w:t>Virol</w:t>
      </w:r>
      <w:proofErr w:type="spellEnd"/>
      <w:r w:rsidR="00A34E01" w:rsidRPr="00A34E01">
        <w:rPr>
          <w:rFonts w:ascii="Arial" w:eastAsia="Times New Roman" w:hAnsi="Arial" w:cs="Arial"/>
          <w:iCs/>
          <w:color w:val="000000" w:themeColor="text1"/>
          <w:sz w:val="24"/>
          <w:szCs w:val="24"/>
          <w:lang w:val="en-US" w:eastAsia="ru-RU"/>
        </w:rPr>
        <w:t xml:space="preserve"> 2019;</w:t>
      </w:r>
      <w:r w:rsidRPr="00A34E01">
        <w:rPr>
          <w:rFonts w:ascii="Arial" w:eastAsia="Times New Roman" w:hAnsi="Arial" w:cs="Arial"/>
          <w:iCs/>
          <w:color w:val="000000" w:themeColor="text1"/>
          <w:sz w:val="24"/>
          <w:szCs w:val="24"/>
          <w:lang w:val="en-US" w:eastAsia="ru-RU"/>
        </w:rPr>
        <w:t>6(1):435-458.</w:t>
      </w:r>
    </w:p>
    <w:p w:rsidR="00CC1689" w:rsidRPr="00A34E01" w:rsidRDefault="00CC1689" w:rsidP="00A34E01">
      <w:pPr>
        <w:pStyle w:val="a7"/>
        <w:numPr>
          <w:ilvl w:val="0"/>
          <w:numId w:val="2"/>
        </w:numPr>
        <w:shd w:val="clear" w:color="auto" w:fill="FFFFFF"/>
        <w:spacing w:after="0" w:line="360" w:lineRule="auto"/>
        <w:ind w:left="0" w:firstLine="0"/>
        <w:jc w:val="both"/>
        <w:rPr>
          <w:rFonts w:ascii="Arial" w:eastAsia="Times New Roman" w:hAnsi="Arial" w:cs="Arial"/>
          <w:color w:val="000000" w:themeColor="text1"/>
          <w:sz w:val="24"/>
          <w:szCs w:val="24"/>
          <w:lang w:val="en-US" w:eastAsia="ru-RU"/>
        </w:rPr>
      </w:pPr>
      <w:r w:rsidRPr="00A34E01">
        <w:rPr>
          <w:rFonts w:ascii="Arial" w:eastAsia="Times New Roman" w:hAnsi="Arial" w:cs="Arial"/>
          <w:color w:val="000000" w:themeColor="text1"/>
          <w:sz w:val="24"/>
          <w:szCs w:val="24"/>
          <w:lang w:val="en-US" w:eastAsia="ru-RU"/>
        </w:rPr>
        <w:t xml:space="preserve">Harrington D.G, Lupton H.W., </w:t>
      </w:r>
      <w:proofErr w:type="spellStart"/>
      <w:r w:rsidRPr="00A34E01">
        <w:rPr>
          <w:rFonts w:ascii="Arial" w:eastAsia="Times New Roman" w:hAnsi="Arial" w:cs="Arial"/>
          <w:color w:val="000000" w:themeColor="text1"/>
          <w:sz w:val="24"/>
          <w:szCs w:val="24"/>
          <w:lang w:val="en-US" w:eastAsia="ru-RU"/>
        </w:rPr>
        <w:t>Crabbs</w:t>
      </w:r>
      <w:proofErr w:type="spellEnd"/>
      <w:r w:rsidRPr="00A34E01">
        <w:rPr>
          <w:rFonts w:ascii="Arial" w:eastAsia="Times New Roman" w:hAnsi="Arial" w:cs="Arial"/>
          <w:color w:val="000000" w:themeColor="text1"/>
          <w:sz w:val="24"/>
          <w:szCs w:val="24"/>
          <w:lang w:val="en-US" w:eastAsia="ru-RU"/>
        </w:rPr>
        <w:t xml:space="preserve"> C.L., Bolt L.E., Cole F.E., Jr., </w:t>
      </w:r>
      <w:proofErr w:type="spellStart"/>
      <w:r w:rsidRPr="00A34E01">
        <w:rPr>
          <w:rFonts w:ascii="Arial" w:eastAsia="Times New Roman" w:hAnsi="Arial" w:cs="Arial"/>
          <w:color w:val="000000" w:themeColor="text1"/>
          <w:sz w:val="24"/>
          <w:szCs w:val="24"/>
          <w:lang w:val="en-US" w:eastAsia="ru-RU"/>
        </w:rPr>
        <w:t>Hilmas</w:t>
      </w:r>
      <w:proofErr w:type="spellEnd"/>
      <w:r w:rsidRPr="00A34E01">
        <w:rPr>
          <w:rFonts w:ascii="Arial" w:eastAsia="Times New Roman" w:hAnsi="Arial" w:cs="Arial"/>
          <w:color w:val="000000" w:themeColor="text1"/>
          <w:sz w:val="24"/>
          <w:szCs w:val="24"/>
          <w:lang w:val="en-US" w:eastAsia="ru-RU"/>
        </w:rPr>
        <w:t xml:space="preserve"> D.E. Adjuvant effects of </w:t>
      </w:r>
      <w:proofErr w:type="spellStart"/>
      <w:r w:rsidRPr="00A34E01">
        <w:rPr>
          <w:rFonts w:ascii="Arial" w:eastAsia="Times New Roman" w:hAnsi="Arial" w:cs="Arial"/>
          <w:color w:val="000000" w:themeColor="text1"/>
          <w:sz w:val="24"/>
          <w:szCs w:val="24"/>
          <w:lang w:val="en-US" w:eastAsia="ru-RU"/>
        </w:rPr>
        <w:t>tilorone</w:t>
      </w:r>
      <w:proofErr w:type="spellEnd"/>
      <w:r w:rsidRPr="00A34E01">
        <w:rPr>
          <w:rFonts w:ascii="Arial" w:eastAsia="Times New Roman" w:hAnsi="Arial" w:cs="Arial"/>
          <w:color w:val="000000" w:themeColor="text1"/>
          <w:sz w:val="24"/>
          <w:szCs w:val="24"/>
          <w:lang w:val="en-US" w:eastAsia="ru-RU"/>
        </w:rPr>
        <w:t xml:space="preserve"> hydrochloride (analog 11,567) with inactivated Venezuelan </w:t>
      </w:r>
      <w:r w:rsidRPr="00A34E01">
        <w:rPr>
          <w:rFonts w:ascii="Arial" w:eastAsia="Times New Roman" w:hAnsi="Arial" w:cs="Arial"/>
          <w:color w:val="000000" w:themeColor="text1"/>
          <w:sz w:val="24"/>
          <w:szCs w:val="24"/>
          <w:lang w:val="en-US" w:eastAsia="ru-RU"/>
        </w:rPr>
        <w:lastRenderedPageBreak/>
        <w:t>equine encephalomyelitis virus vaccine. Proceedings of the Society for Experimental Biology and Medicine Society for Experimental Biology and Medicine (New York, NY). 1981;166(2):257–262.</w:t>
      </w:r>
    </w:p>
    <w:p w:rsidR="00EB41AB" w:rsidRPr="00A34E01" w:rsidRDefault="00EB41AB" w:rsidP="00A34E01">
      <w:pPr>
        <w:pStyle w:val="a7"/>
        <w:numPr>
          <w:ilvl w:val="0"/>
          <w:numId w:val="2"/>
        </w:numPr>
        <w:spacing w:after="0" w:line="360" w:lineRule="auto"/>
        <w:ind w:left="0" w:firstLine="0"/>
        <w:jc w:val="both"/>
        <w:rPr>
          <w:rFonts w:ascii="Arial" w:hAnsi="Arial" w:cs="Arial"/>
          <w:color w:val="000000" w:themeColor="text1"/>
          <w:sz w:val="24"/>
          <w:szCs w:val="24"/>
          <w:lang w:val="en-US"/>
        </w:rPr>
      </w:pPr>
      <w:proofErr w:type="spellStart"/>
      <w:r w:rsidRPr="00A34E01">
        <w:rPr>
          <w:rFonts w:ascii="Arial" w:eastAsia="Times New Roman" w:hAnsi="Arial" w:cs="Arial"/>
          <w:iCs/>
          <w:color w:val="000000" w:themeColor="text1"/>
          <w:sz w:val="24"/>
          <w:szCs w:val="24"/>
          <w:lang w:val="en-US" w:eastAsia="ru-RU"/>
        </w:rPr>
        <w:t>Holshue</w:t>
      </w:r>
      <w:proofErr w:type="spellEnd"/>
      <w:r w:rsidRPr="00A34E01">
        <w:rPr>
          <w:rFonts w:ascii="Arial" w:eastAsia="Times New Roman" w:hAnsi="Arial" w:cs="Arial"/>
          <w:iCs/>
          <w:color w:val="000000" w:themeColor="text1"/>
          <w:sz w:val="24"/>
          <w:szCs w:val="24"/>
          <w:lang w:val="en-US" w:eastAsia="ru-RU"/>
        </w:rPr>
        <w:t xml:space="preserve"> ML, </w:t>
      </w:r>
      <w:proofErr w:type="spellStart"/>
      <w:r w:rsidRPr="00A34E01">
        <w:rPr>
          <w:rFonts w:ascii="Arial" w:eastAsia="Times New Roman" w:hAnsi="Arial" w:cs="Arial"/>
          <w:iCs/>
          <w:color w:val="000000" w:themeColor="text1"/>
          <w:sz w:val="24"/>
          <w:szCs w:val="24"/>
          <w:lang w:val="en-US" w:eastAsia="ru-RU"/>
        </w:rPr>
        <w:t>DeBolt</w:t>
      </w:r>
      <w:proofErr w:type="spellEnd"/>
      <w:r w:rsidRPr="00A34E01">
        <w:rPr>
          <w:rFonts w:ascii="Arial" w:eastAsia="Times New Roman" w:hAnsi="Arial" w:cs="Arial"/>
          <w:iCs/>
          <w:color w:val="000000" w:themeColor="text1"/>
          <w:sz w:val="24"/>
          <w:szCs w:val="24"/>
          <w:lang w:val="en-US" w:eastAsia="ru-RU"/>
        </w:rPr>
        <w:t xml:space="preserve"> C, Lindquist S, </w:t>
      </w:r>
      <w:proofErr w:type="spellStart"/>
      <w:r w:rsidRPr="00A34E01">
        <w:rPr>
          <w:rFonts w:ascii="Arial" w:eastAsia="Times New Roman" w:hAnsi="Arial" w:cs="Arial"/>
          <w:iCs/>
          <w:color w:val="000000" w:themeColor="text1"/>
          <w:sz w:val="24"/>
          <w:szCs w:val="24"/>
          <w:lang w:val="en-US" w:eastAsia="ru-RU"/>
        </w:rPr>
        <w:t>Lofy</w:t>
      </w:r>
      <w:proofErr w:type="spellEnd"/>
      <w:r w:rsidRPr="00A34E01">
        <w:rPr>
          <w:rFonts w:ascii="Arial" w:eastAsia="Times New Roman" w:hAnsi="Arial" w:cs="Arial"/>
          <w:iCs/>
          <w:color w:val="000000" w:themeColor="text1"/>
          <w:sz w:val="24"/>
          <w:szCs w:val="24"/>
          <w:lang w:val="en-US" w:eastAsia="ru-RU"/>
        </w:rPr>
        <w:t xml:space="preserve"> KH, </w:t>
      </w:r>
      <w:proofErr w:type="spellStart"/>
      <w:r w:rsidRPr="00A34E01">
        <w:rPr>
          <w:rFonts w:ascii="Arial" w:eastAsia="Times New Roman" w:hAnsi="Arial" w:cs="Arial"/>
          <w:iCs/>
          <w:color w:val="000000" w:themeColor="text1"/>
          <w:sz w:val="24"/>
          <w:szCs w:val="24"/>
          <w:lang w:val="en-US" w:eastAsia="ru-RU"/>
        </w:rPr>
        <w:t>Wiesman</w:t>
      </w:r>
      <w:proofErr w:type="spellEnd"/>
      <w:r w:rsidRPr="00A34E01">
        <w:rPr>
          <w:rFonts w:ascii="Arial" w:eastAsia="Times New Roman" w:hAnsi="Arial" w:cs="Arial"/>
          <w:iCs/>
          <w:color w:val="000000" w:themeColor="text1"/>
          <w:sz w:val="24"/>
          <w:szCs w:val="24"/>
          <w:lang w:val="en-US" w:eastAsia="ru-RU"/>
        </w:rPr>
        <w:t xml:space="preserve"> J, Bruce H, </w:t>
      </w:r>
      <w:proofErr w:type="spellStart"/>
      <w:r w:rsidRPr="00A34E01">
        <w:rPr>
          <w:rFonts w:ascii="Arial" w:eastAsia="Times New Roman" w:hAnsi="Arial" w:cs="Arial"/>
          <w:iCs/>
          <w:color w:val="000000" w:themeColor="text1"/>
          <w:sz w:val="24"/>
          <w:szCs w:val="24"/>
          <w:lang w:val="en-US" w:eastAsia="ru-RU"/>
        </w:rPr>
        <w:t>Spitters</w:t>
      </w:r>
      <w:proofErr w:type="spellEnd"/>
      <w:r w:rsidRPr="00A34E01">
        <w:rPr>
          <w:rFonts w:ascii="Arial" w:eastAsia="Times New Roman" w:hAnsi="Arial" w:cs="Arial"/>
          <w:iCs/>
          <w:color w:val="000000" w:themeColor="text1"/>
          <w:sz w:val="24"/>
          <w:szCs w:val="24"/>
          <w:lang w:val="en-US" w:eastAsia="ru-RU"/>
        </w:rPr>
        <w:t xml:space="preserve"> C, Ericson K, Wilkerson S, </w:t>
      </w:r>
      <w:proofErr w:type="spellStart"/>
      <w:r w:rsidRPr="00A34E01">
        <w:rPr>
          <w:rFonts w:ascii="Arial" w:eastAsia="Times New Roman" w:hAnsi="Arial" w:cs="Arial"/>
          <w:iCs/>
          <w:color w:val="000000" w:themeColor="text1"/>
          <w:sz w:val="24"/>
          <w:szCs w:val="24"/>
          <w:lang w:val="en-US" w:eastAsia="ru-RU"/>
        </w:rPr>
        <w:t>Tural</w:t>
      </w:r>
      <w:proofErr w:type="spellEnd"/>
      <w:r w:rsidRPr="00A34E01">
        <w:rPr>
          <w:rFonts w:ascii="Arial" w:eastAsia="Times New Roman" w:hAnsi="Arial" w:cs="Arial"/>
          <w:iCs/>
          <w:color w:val="000000" w:themeColor="text1"/>
          <w:sz w:val="24"/>
          <w:szCs w:val="24"/>
          <w:lang w:val="en-US" w:eastAsia="ru-RU"/>
        </w:rPr>
        <w:t xml:space="preserve"> A, Diaz G, Cohn A, Fox L, Patel A, Gerber SI, Kim L, Tong S, Lu X, Lindstrom S, </w:t>
      </w:r>
      <w:proofErr w:type="spellStart"/>
      <w:r w:rsidRPr="00A34E01">
        <w:rPr>
          <w:rFonts w:ascii="Arial" w:eastAsia="Times New Roman" w:hAnsi="Arial" w:cs="Arial"/>
          <w:iCs/>
          <w:color w:val="000000" w:themeColor="text1"/>
          <w:sz w:val="24"/>
          <w:szCs w:val="24"/>
          <w:lang w:val="en-US" w:eastAsia="ru-RU"/>
        </w:rPr>
        <w:t>Pallansch</w:t>
      </w:r>
      <w:proofErr w:type="spellEnd"/>
      <w:r w:rsidRPr="00A34E01">
        <w:rPr>
          <w:rFonts w:ascii="Arial" w:eastAsia="Times New Roman" w:hAnsi="Arial" w:cs="Arial"/>
          <w:iCs/>
          <w:color w:val="000000" w:themeColor="text1"/>
          <w:sz w:val="24"/>
          <w:szCs w:val="24"/>
          <w:lang w:val="en-US" w:eastAsia="ru-RU"/>
        </w:rPr>
        <w:t xml:space="preserve"> MA, Weldon WC, Biggs HM, </w:t>
      </w:r>
      <w:proofErr w:type="spellStart"/>
      <w:r w:rsidRPr="00A34E01">
        <w:rPr>
          <w:rFonts w:ascii="Arial" w:eastAsia="Times New Roman" w:hAnsi="Arial" w:cs="Arial"/>
          <w:iCs/>
          <w:color w:val="000000" w:themeColor="text1"/>
          <w:sz w:val="24"/>
          <w:szCs w:val="24"/>
          <w:lang w:val="en-US" w:eastAsia="ru-RU"/>
        </w:rPr>
        <w:t>Uyeki</w:t>
      </w:r>
      <w:proofErr w:type="spellEnd"/>
      <w:r w:rsidRPr="00A34E01">
        <w:rPr>
          <w:rFonts w:ascii="Arial" w:eastAsia="Times New Roman" w:hAnsi="Arial" w:cs="Arial"/>
          <w:iCs/>
          <w:color w:val="000000" w:themeColor="text1"/>
          <w:sz w:val="24"/>
          <w:szCs w:val="24"/>
          <w:lang w:val="en-US" w:eastAsia="ru-RU"/>
        </w:rPr>
        <w:t xml:space="preserve"> TM, Pillai SK, Washington State 2019-nCoV Case Investigation Team. </w:t>
      </w:r>
      <w:r w:rsidRPr="00A34E01">
        <w:rPr>
          <w:rFonts w:ascii="Arial" w:eastAsia="Times New Roman" w:hAnsi="Arial" w:cs="Arial"/>
          <w:color w:val="000000" w:themeColor="text1"/>
          <w:sz w:val="24"/>
          <w:szCs w:val="24"/>
          <w:shd w:val="clear" w:color="auto" w:fill="FFFFFF"/>
          <w:lang w:val="en-US" w:eastAsia="ru-RU"/>
        </w:rPr>
        <w:t xml:space="preserve">First Case of 2019 Novel Coronavirus in the United States. </w:t>
      </w:r>
      <w:r w:rsidR="00A34E01" w:rsidRPr="00A34E01">
        <w:rPr>
          <w:rFonts w:ascii="Arial" w:eastAsia="Times New Roman" w:hAnsi="Arial" w:cs="Arial"/>
          <w:iCs/>
          <w:color w:val="000000" w:themeColor="text1"/>
          <w:sz w:val="24"/>
          <w:szCs w:val="24"/>
          <w:lang w:val="en-US" w:eastAsia="ru-RU"/>
        </w:rPr>
        <w:t xml:space="preserve">N </w:t>
      </w:r>
      <w:proofErr w:type="spellStart"/>
      <w:r w:rsidR="00A34E01" w:rsidRPr="00A34E01">
        <w:rPr>
          <w:rFonts w:ascii="Arial" w:eastAsia="Times New Roman" w:hAnsi="Arial" w:cs="Arial"/>
          <w:iCs/>
          <w:color w:val="000000" w:themeColor="text1"/>
          <w:sz w:val="24"/>
          <w:szCs w:val="24"/>
          <w:lang w:val="en-US" w:eastAsia="ru-RU"/>
        </w:rPr>
        <w:t>Engl</w:t>
      </w:r>
      <w:proofErr w:type="spellEnd"/>
      <w:r w:rsidR="00A34E01" w:rsidRPr="00A34E01">
        <w:rPr>
          <w:rFonts w:ascii="Arial" w:eastAsia="Times New Roman" w:hAnsi="Arial" w:cs="Arial"/>
          <w:iCs/>
          <w:color w:val="000000" w:themeColor="text1"/>
          <w:sz w:val="24"/>
          <w:szCs w:val="24"/>
          <w:lang w:val="en-US" w:eastAsia="ru-RU"/>
        </w:rPr>
        <w:t xml:space="preserve"> J Med 2020;</w:t>
      </w:r>
      <w:r w:rsidRPr="00A34E01">
        <w:rPr>
          <w:rFonts w:ascii="Arial" w:eastAsia="Times New Roman" w:hAnsi="Arial" w:cs="Arial"/>
          <w:iCs/>
          <w:color w:val="000000" w:themeColor="text1"/>
          <w:sz w:val="24"/>
          <w:szCs w:val="24"/>
          <w:lang w:val="en-US" w:eastAsia="ru-RU"/>
        </w:rPr>
        <w:t>382(10):929-936</w:t>
      </w:r>
      <w:r w:rsidRPr="00A34E01">
        <w:rPr>
          <w:rFonts w:ascii="Arial" w:hAnsi="Arial" w:cs="Arial"/>
          <w:color w:val="000000" w:themeColor="text1"/>
          <w:sz w:val="24"/>
          <w:szCs w:val="24"/>
          <w:lang w:val="en-US"/>
        </w:rPr>
        <w:t xml:space="preserve">. DOI: </w:t>
      </w:r>
      <w:r w:rsidRPr="00A34E01">
        <w:rPr>
          <w:rFonts w:ascii="Arial" w:hAnsi="Arial" w:cs="Arial"/>
          <w:b/>
          <w:bCs/>
          <w:color w:val="000000" w:themeColor="text1"/>
          <w:sz w:val="24"/>
          <w:szCs w:val="24"/>
          <w:shd w:val="clear" w:color="auto" w:fill="FFFFFF"/>
          <w:lang w:val="en-US"/>
        </w:rPr>
        <w:t>10</w:t>
      </w:r>
      <w:r w:rsidRPr="00A34E01">
        <w:rPr>
          <w:rFonts w:ascii="Arial" w:hAnsi="Arial" w:cs="Arial"/>
          <w:color w:val="000000" w:themeColor="text1"/>
          <w:sz w:val="24"/>
          <w:szCs w:val="24"/>
          <w:shd w:val="clear" w:color="auto" w:fill="FFFFFF"/>
          <w:lang w:val="en-US"/>
        </w:rPr>
        <w:t>.1056/NEJMoa2001191.</w:t>
      </w:r>
    </w:p>
    <w:p w:rsidR="00CC1689" w:rsidRPr="00A34E01" w:rsidRDefault="00CC1689" w:rsidP="00A34E01">
      <w:pPr>
        <w:pStyle w:val="a7"/>
        <w:numPr>
          <w:ilvl w:val="0"/>
          <w:numId w:val="2"/>
        </w:numPr>
        <w:spacing w:after="0" w:line="360" w:lineRule="auto"/>
        <w:ind w:left="0" w:firstLine="0"/>
        <w:jc w:val="both"/>
        <w:rPr>
          <w:rFonts w:ascii="Arial" w:hAnsi="Arial" w:cs="Arial"/>
          <w:color w:val="000000" w:themeColor="text1"/>
          <w:sz w:val="24"/>
          <w:szCs w:val="24"/>
          <w:shd w:val="clear" w:color="auto" w:fill="FFFFFF"/>
          <w:lang w:val="en-US"/>
        </w:rPr>
      </w:pPr>
      <w:proofErr w:type="spellStart"/>
      <w:r w:rsidRPr="00A34E01">
        <w:rPr>
          <w:rFonts w:ascii="Arial" w:hAnsi="Arial" w:cs="Arial"/>
          <w:color w:val="000000" w:themeColor="text1"/>
          <w:sz w:val="24"/>
          <w:szCs w:val="24"/>
          <w:shd w:val="clear" w:color="auto" w:fill="FFFFFF"/>
          <w:lang w:val="en-US"/>
        </w:rPr>
        <w:t>Karpov</w:t>
      </w:r>
      <w:proofErr w:type="spellEnd"/>
      <w:r w:rsidRPr="00A34E01">
        <w:rPr>
          <w:rFonts w:ascii="Arial" w:hAnsi="Arial" w:cs="Arial"/>
          <w:color w:val="000000" w:themeColor="text1"/>
          <w:sz w:val="24"/>
          <w:szCs w:val="24"/>
          <w:shd w:val="clear" w:color="auto" w:fill="FFFFFF"/>
          <w:lang w:val="en-US"/>
        </w:rPr>
        <w:t xml:space="preserve"> A.V., </w:t>
      </w:r>
      <w:proofErr w:type="spellStart"/>
      <w:r w:rsidRPr="00A34E01">
        <w:rPr>
          <w:rFonts w:ascii="Arial" w:hAnsi="Arial" w:cs="Arial"/>
          <w:color w:val="000000" w:themeColor="text1"/>
          <w:sz w:val="24"/>
          <w:szCs w:val="24"/>
          <w:shd w:val="clear" w:color="auto" w:fill="FFFFFF"/>
          <w:lang w:val="en-US"/>
        </w:rPr>
        <w:t>Zholobak</w:t>
      </w:r>
      <w:proofErr w:type="spellEnd"/>
      <w:r w:rsidRPr="00A34E01">
        <w:rPr>
          <w:rFonts w:ascii="Arial" w:hAnsi="Arial" w:cs="Arial"/>
          <w:color w:val="000000" w:themeColor="text1"/>
          <w:sz w:val="24"/>
          <w:szCs w:val="24"/>
          <w:shd w:val="clear" w:color="auto" w:fill="FFFFFF"/>
          <w:lang w:val="en-US"/>
        </w:rPr>
        <w:t xml:space="preserve"> N.M., </w:t>
      </w:r>
      <w:proofErr w:type="spellStart"/>
      <w:r w:rsidRPr="00A34E01">
        <w:rPr>
          <w:rFonts w:ascii="Arial" w:hAnsi="Arial" w:cs="Arial"/>
          <w:color w:val="000000" w:themeColor="text1"/>
          <w:sz w:val="24"/>
          <w:szCs w:val="24"/>
          <w:shd w:val="clear" w:color="auto" w:fill="FFFFFF"/>
          <w:lang w:val="en-US"/>
        </w:rPr>
        <w:t>Spivak</w:t>
      </w:r>
      <w:proofErr w:type="spellEnd"/>
      <w:r w:rsidRPr="00A34E01">
        <w:rPr>
          <w:rFonts w:ascii="Arial" w:hAnsi="Arial" w:cs="Arial"/>
          <w:color w:val="000000" w:themeColor="text1"/>
          <w:sz w:val="24"/>
          <w:szCs w:val="24"/>
          <w:shd w:val="clear" w:color="auto" w:fill="FFFFFF"/>
          <w:lang w:val="en-US"/>
        </w:rPr>
        <w:t xml:space="preserve"> N.Y., </w:t>
      </w:r>
      <w:proofErr w:type="spellStart"/>
      <w:r w:rsidRPr="00A34E01">
        <w:rPr>
          <w:rFonts w:ascii="Arial" w:hAnsi="Arial" w:cs="Arial"/>
          <w:color w:val="000000" w:themeColor="text1"/>
          <w:sz w:val="24"/>
          <w:szCs w:val="24"/>
          <w:shd w:val="clear" w:color="auto" w:fill="FFFFFF"/>
          <w:lang w:val="en-US"/>
        </w:rPr>
        <w:t>Rybalko</w:t>
      </w:r>
      <w:proofErr w:type="spellEnd"/>
      <w:r w:rsidRPr="00A34E01">
        <w:rPr>
          <w:rFonts w:ascii="Arial" w:hAnsi="Arial" w:cs="Arial"/>
          <w:color w:val="000000" w:themeColor="text1"/>
          <w:sz w:val="24"/>
          <w:szCs w:val="24"/>
          <w:shd w:val="clear" w:color="auto" w:fill="FFFFFF"/>
          <w:lang w:val="en-US"/>
        </w:rPr>
        <w:t xml:space="preserve"> S.L., </w:t>
      </w:r>
      <w:proofErr w:type="spellStart"/>
      <w:r w:rsidRPr="00A34E01">
        <w:rPr>
          <w:rFonts w:ascii="Arial" w:hAnsi="Arial" w:cs="Arial"/>
          <w:color w:val="000000" w:themeColor="text1"/>
          <w:sz w:val="24"/>
          <w:szCs w:val="24"/>
          <w:shd w:val="clear" w:color="auto" w:fill="FFFFFF"/>
          <w:lang w:val="en-US"/>
        </w:rPr>
        <w:t>Antonenko</w:t>
      </w:r>
      <w:proofErr w:type="spellEnd"/>
      <w:r w:rsidRPr="00A34E01">
        <w:rPr>
          <w:rFonts w:ascii="Arial" w:hAnsi="Arial" w:cs="Arial"/>
          <w:color w:val="000000" w:themeColor="text1"/>
          <w:sz w:val="24"/>
          <w:szCs w:val="24"/>
          <w:shd w:val="clear" w:color="auto" w:fill="FFFFFF"/>
          <w:lang w:val="en-US"/>
        </w:rPr>
        <w:t xml:space="preserve"> S.V., </w:t>
      </w:r>
      <w:proofErr w:type="spellStart"/>
      <w:r w:rsidRPr="00A34E01">
        <w:rPr>
          <w:rFonts w:ascii="Arial" w:hAnsi="Arial" w:cs="Arial"/>
          <w:color w:val="000000" w:themeColor="text1"/>
          <w:sz w:val="24"/>
          <w:szCs w:val="24"/>
          <w:shd w:val="clear" w:color="auto" w:fill="FFFFFF"/>
          <w:lang w:val="en-US"/>
        </w:rPr>
        <w:t>Krivokhatskaya</w:t>
      </w:r>
      <w:proofErr w:type="spellEnd"/>
      <w:r w:rsidRPr="00A34E01">
        <w:rPr>
          <w:rFonts w:ascii="Arial" w:hAnsi="Arial" w:cs="Arial"/>
          <w:color w:val="000000" w:themeColor="text1"/>
          <w:sz w:val="24"/>
          <w:szCs w:val="24"/>
          <w:shd w:val="clear" w:color="auto" w:fill="FFFFFF"/>
          <w:lang w:val="en-US"/>
        </w:rPr>
        <w:t xml:space="preserve"> L.D. Virus-inhibitory effect of a yeast RNA-</w:t>
      </w:r>
      <w:proofErr w:type="spellStart"/>
      <w:r w:rsidRPr="00A34E01">
        <w:rPr>
          <w:rFonts w:ascii="Arial" w:hAnsi="Arial" w:cs="Arial"/>
          <w:color w:val="000000" w:themeColor="text1"/>
          <w:sz w:val="24"/>
          <w:szCs w:val="24"/>
          <w:shd w:val="clear" w:color="auto" w:fill="FFFFFF"/>
          <w:lang w:val="en-US"/>
        </w:rPr>
        <w:t>tilorone</w:t>
      </w:r>
      <w:proofErr w:type="spellEnd"/>
      <w:r w:rsidRPr="00A34E01">
        <w:rPr>
          <w:rFonts w:ascii="Arial" w:hAnsi="Arial" w:cs="Arial"/>
          <w:color w:val="000000" w:themeColor="text1"/>
          <w:sz w:val="24"/>
          <w:szCs w:val="24"/>
          <w:shd w:val="clear" w:color="auto" w:fill="FFFFFF"/>
          <w:lang w:val="en-US"/>
        </w:rPr>
        <w:t xml:space="preserve"> molecular complex in cell cultures. </w:t>
      </w:r>
      <w:proofErr w:type="spellStart"/>
      <w:r w:rsidRPr="00A34E01">
        <w:rPr>
          <w:rFonts w:ascii="Arial" w:hAnsi="Arial" w:cs="Arial"/>
          <w:color w:val="000000" w:themeColor="text1"/>
          <w:sz w:val="24"/>
          <w:szCs w:val="24"/>
          <w:shd w:val="clear" w:color="auto" w:fill="FFFFFF"/>
          <w:lang w:val="en-US"/>
        </w:rPr>
        <w:t>Acta</w:t>
      </w:r>
      <w:proofErr w:type="spellEnd"/>
      <w:r w:rsidRPr="00A34E01">
        <w:rPr>
          <w:rFonts w:ascii="Arial" w:hAnsi="Arial" w:cs="Arial"/>
          <w:color w:val="000000" w:themeColor="text1"/>
          <w:sz w:val="24"/>
          <w:szCs w:val="24"/>
          <w:shd w:val="clear" w:color="auto" w:fill="FFFFFF"/>
          <w:lang w:val="en-US"/>
        </w:rPr>
        <w:t xml:space="preserve"> </w:t>
      </w:r>
      <w:proofErr w:type="spellStart"/>
      <w:r w:rsidRPr="00A34E01">
        <w:rPr>
          <w:rFonts w:ascii="Arial" w:hAnsi="Arial" w:cs="Arial"/>
          <w:color w:val="000000" w:themeColor="text1"/>
          <w:sz w:val="24"/>
          <w:szCs w:val="24"/>
          <w:shd w:val="clear" w:color="auto" w:fill="FFFFFF"/>
          <w:lang w:val="en-US"/>
        </w:rPr>
        <w:t>Virol</w:t>
      </w:r>
      <w:proofErr w:type="spellEnd"/>
      <w:r w:rsidRPr="00A34E01">
        <w:rPr>
          <w:rFonts w:ascii="Arial" w:hAnsi="Arial" w:cs="Arial"/>
          <w:color w:val="000000" w:themeColor="text1"/>
          <w:sz w:val="24"/>
          <w:szCs w:val="24"/>
          <w:shd w:val="clear" w:color="auto" w:fill="FFFFFF"/>
          <w:lang w:val="en-US"/>
        </w:rPr>
        <w:t>. 2001;45(3):181–184.</w:t>
      </w:r>
    </w:p>
    <w:p w:rsidR="00CC1689" w:rsidRPr="00A34E01" w:rsidRDefault="00CC1689" w:rsidP="00A34E01">
      <w:pPr>
        <w:pStyle w:val="a7"/>
        <w:numPr>
          <w:ilvl w:val="0"/>
          <w:numId w:val="2"/>
        </w:numPr>
        <w:shd w:val="clear" w:color="auto" w:fill="FFFFFF"/>
        <w:spacing w:after="0" w:line="360" w:lineRule="auto"/>
        <w:ind w:left="0" w:firstLine="0"/>
        <w:jc w:val="both"/>
        <w:rPr>
          <w:rFonts w:ascii="Arial" w:eastAsia="Times New Roman" w:hAnsi="Arial" w:cs="Arial"/>
          <w:color w:val="000000" w:themeColor="text1"/>
          <w:sz w:val="24"/>
          <w:szCs w:val="24"/>
          <w:lang w:val="en-US" w:eastAsia="ru-RU"/>
        </w:rPr>
      </w:pPr>
      <w:r w:rsidRPr="00A34E01">
        <w:rPr>
          <w:rFonts w:ascii="Arial" w:eastAsia="Times New Roman" w:hAnsi="Arial" w:cs="Arial"/>
          <w:color w:val="000000" w:themeColor="text1"/>
          <w:sz w:val="24"/>
          <w:szCs w:val="24"/>
          <w:lang w:val="en-US" w:eastAsia="ru-RU"/>
        </w:rPr>
        <w:t xml:space="preserve">Katz E., </w:t>
      </w:r>
      <w:proofErr w:type="spellStart"/>
      <w:r w:rsidRPr="00A34E01">
        <w:rPr>
          <w:rFonts w:ascii="Arial" w:eastAsia="Times New Roman" w:hAnsi="Arial" w:cs="Arial"/>
          <w:color w:val="000000" w:themeColor="text1"/>
          <w:sz w:val="24"/>
          <w:szCs w:val="24"/>
          <w:lang w:val="en-US" w:eastAsia="ru-RU"/>
        </w:rPr>
        <w:t>Margalith</w:t>
      </w:r>
      <w:proofErr w:type="spellEnd"/>
      <w:r w:rsidRPr="00A34E01">
        <w:rPr>
          <w:rFonts w:ascii="Arial" w:eastAsia="Times New Roman" w:hAnsi="Arial" w:cs="Arial"/>
          <w:color w:val="000000" w:themeColor="text1"/>
          <w:sz w:val="24"/>
          <w:szCs w:val="24"/>
          <w:lang w:val="en-US" w:eastAsia="ru-RU"/>
        </w:rPr>
        <w:t xml:space="preserve"> E., Winer B. The effect of </w:t>
      </w:r>
      <w:proofErr w:type="spellStart"/>
      <w:r w:rsidRPr="00A34E01">
        <w:rPr>
          <w:rFonts w:ascii="Arial" w:eastAsia="Times New Roman" w:hAnsi="Arial" w:cs="Arial"/>
          <w:color w:val="000000" w:themeColor="text1"/>
          <w:sz w:val="24"/>
          <w:szCs w:val="24"/>
          <w:lang w:val="en-US" w:eastAsia="ru-RU"/>
        </w:rPr>
        <w:t>tilorone</w:t>
      </w:r>
      <w:proofErr w:type="spellEnd"/>
      <w:r w:rsidRPr="00A34E01">
        <w:rPr>
          <w:rFonts w:ascii="Arial" w:eastAsia="Times New Roman" w:hAnsi="Arial" w:cs="Arial"/>
          <w:color w:val="000000" w:themeColor="text1"/>
          <w:sz w:val="24"/>
          <w:szCs w:val="24"/>
          <w:lang w:val="en-US" w:eastAsia="ru-RU"/>
        </w:rPr>
        <w:t xml:space="preserve"> hydrochloride on the growth of several animal viruses in tissue cultures. The Journal of general virology 1976; 31(1):125–129.  </w:t>
      </w:r>
    </w:p>
    <w:p w:rsidR="00CC1689" w:rsidRPr="00A34E01" w:rsidRDefault="00CC1689" w:rsidP="00A34E01">
      <w:pPr>
        <w:pStyle w:val="a7"/>
        <w:numPr>
          <w:ilvl w:val="0"/>
          <w:numId w:val="2"/>
        </w:numPr>
        <w:shd w:val="clear" w:color="auto" w:fill="FFFFFF"/>
        <w:spacing w:after="0" w:line="360" w:lineRule="auto"/>
        <w:ind w:left="0" w:firstLine="0"/>
        <w:jc w:val="both"/>
        <w:rPr>
          <w:rFonts w:ascii="Arial" w:eastAsia="Times New Roman" w:hAnsi="Arial" w:cs="Arial"/>
          <w:color w:val="000000" w:themeColor="text1"/>
          <w:sz w:val="24"/>
          <w:szCs w:val="24"/>
          <w:lang w:val="en-US" w:eastAsia="ru-RU"/>
        </w:rPr>
      </w:pPr>
      <w:r w:rsidRPr="00A34E01">
        <w:rPr>
          <w:rFonts w:ascii="Arial" w:eastAsia="Times New Roman" w:hAnsi="Arial" w:cs="Arial"/>
          <w:color w:val="000000" w:themeColor="text1"/>
          <w:sz w:val="24"/>
          <w:szCs w:val="24"/>
          <w:lang w:val="en-US" w:eastAsia="ru-RU"/>
        </w:rPr>
        <w:t xml:space="preserve">Katz E., </w:t>
      </w:r>
      <w:proofErr w:type="spellStart"/>
      <w:r w:rsidRPr="00A34E01">
        <w:rPr>
          <w:rFonts w:ascii="Arial" w:eastAsia="Times New Roman" w:hAnsi="Arial" w:cs="Arial"/>
          <w:color w:val="000000" w:themeColor="text1"/>
          <w:sz w:val="24"/>
          <w:szCs w:val="24"/>
          <w:lang w:val="en-US" w:eastAsia="ru-RU"/>
        </w:rPr>
        <w:t>Margalith</w:t>
      </w:r>
      <w:proofErr w:type="spellEnd"/>
      <w:r w:rsidRPr="00A34E01">
        <w:rPr>
          <w:rFonts w:ascii="Arial" w:eastAsia="Times New Roman" w:hAnsi="Arial" w:cs="Arial"/>
          <w:color w:val="000000" w:themeColor="text1"/>
          <w:sz w:val="24"/>
          <w:szCs w:val="24"/>
          <w:lang w:val="en-US" w:eastAsia="ru-RU"/>
        </w:rPr>
        <w:t xml:space="preserve"> E., Winer B. Inhibition of herpesvirus deoxyribonucleic acid and protein synthesis by </w:t>
      </w:r>
      <w:proofErr w:type="spellStart"/>
      <w:r w:rsidRPr="00A34E01">
        <w:rPr>
          <w:rFonts w:ascii="Arial" w:eastAsia="Times New Roman" w:hAnsi="Arial" w:cs="Arial"/>
          <w:color w:val="000000" w:themeColor="text1"/>
          <w:sz w:val="24"/>
          <w:szCs w:val="24"/>
          <w:lang w:val="en-US" w:eastAsia="ru-RU"/>
        </w:rPr>
        <w:t>tilorone</w:t>
      </w:r>
      <w:proofErr w:type="spellEnd"/>
      <w:r w:rsidRPr="00A34E01">
        <w:rPr>
          <w:rFonts w:ascii="Arial" w:eastAsia="Times New Roman" w:hAnsi="Arial" w:cs="Arial"/>
          <w:color w:val="000000" w:themeColor="text1"/>
          <w:sz w:val="24"/>
          <w:szCs w:val="24"/>
          <w:lang w:val="en-US" w:eastAsia="ru-RU"/>
        </w:rPr>
        <w:t xml:space="preserve"> hydrochloride. </w:t>
      </w:r>
      <w:proofErr w:type="spellStart"/>
      <w:r w:rsidRPr="00A34E01">
        <w:rPr>
          <w:rFonts w:ascii="Arial" w:eastAsia="Times New Roman" w:hAnsi="Arial" w:cs="Arial"/>
          <w:color w:val="000000" w:themeColor="text1"/>
          <w:sz w:val="24"/>
          <w:szCs w:val="24"/>
          <w:lang w:val="en-US" w:eastAsia="ru-RU"/>
        </w:rPr>
        <w:t>Antimicrob</w:t>
      </w:r>
      <w:proofErr w:type="spellEnd"/>
      <w:r w:rsidRPr="00A34E01">
        <w:rPr>
          <w:rFonts w:ascii="Arial" w:eastAsia="Times New Roman" w:hAnsi="Arial" w:cs="Arial"/>
          <w:color w:val="000000" w:themeColor="text1"/>
          <w:sz w:val="24"/>
          <w:szCs w:val="24"/>
          <w:lang w:val="en-US" w:eastAsia="ru-RU"/>
        </w:rPr>
        <w:t xml:space="preserve"> Agents </w:t>
      </w:r>
      <w:proofErr w:type="spellStart"/>
      <w:r w:rsidRPr="00A34E01">
        <w:rPr>
          <w:rFonts w:ascii="Arial" w:eastAsia="Times New Roman" w:hAnsi="Arial" w:cs="Arial"/>
          <w:color w:val="000000" w:themeColor="text1"/>
          <w:sz w:val="24"/>
          <w:szCs w:val="24"/>
          <w:lang w:val="en-US" w:eastAsia="ru-RU"/>
        </w:rPr>
        <w:t>Chemother</w:t>
      </w:r>
      <w:proofErr w:type="spellEnd"/>
      <w:r w:rsidRPr="00A34E01">
        <w:rPr>
          <w:rFonts w:ascii="Arial" w:eastAsia="Times New Roman" w:hAnsi="Arial" w:cs="Arial"/>
          <w:color w:val="000000" w:themeColor="text1"/>
          <w:sz w:val="24"/>
          <w:szCs w:val="24"/>
          <w:lang w:val="en-US" w:eastAsia="ru-RU"/>
        </w:rPr>
        <w:t xml:space="preserve"> 1976;9(1):189–195. </w:t>
      </w:r>
    </w:p>
    <w:p w:rsidR="00CC1689" w:rsidRPr="00A34E01" w:rsidRDefault="00CC1689" w:rsidP="00A34E01">
      <w:pPr>
        <w:pStyle w:val="a7"/>
        <w:numPr>
          <w:ilvl w:val="0"/>
          <w:numId w:val="2"/>
        </w:numPr>
        <w:shd w:val="clear" w:color="auto" w:fill="FFFFFF"/>
        <w:spacing w:after="0" w:line="360" w:lineRule="auto"/>
        <w:ind w:left="0" w:firstLine="0"/>
        <w:jc w:val="both"/>
        <w:rPr>
          <w:rFonts w:ascii="Arial" w:eastAsia="Times New Roman" w:hAnsi="Arial" w:cs="Arial"/>
          <w:color w:val="000000" w:themeColor="text1"/>
          <w:sz w:val="24"/>
          <w:szCs w:val="24"/>
          <w:lang w:val="en-US" w:eastAsia="ru-RU"/>
        </w:rPr>
      </w:pPr>
      <w:r w:rsidRPr="00A34E01">
        <w:rPr>
          <w:rFonts w:ascii="Arial" w:eastAsia="Times New Roman" w:hAnsi="Arial" w:cs="Arial"/>
          <w:color w:val="000000" w:themeColor="text1"/>
          <w:sz w:val="24"/>
          <w:szCs w:val="24"/>
          <w:lang w:val="en-US" w:eastAsia="ru-RU"/>
        </w:rPr>
        <w:t xml:space="preserve">Kaufman H.E., </w:t>
      </w:r>
      <w:proofErr w:type="spellStart"/>
      <w:r w:rsidRPr="00A34E01">
        <w:rPr>
          <w:rFonts w:ascii="Arial" w:eastAsia="Times New Roman" w:hAnsi="Arial" w:cs="Arial"/>
          <w:color w:val="000000" w:themeColor="text1"/>
          <w:sz w:val="24"/>
          <w:szCs w:val="24"/>
          <w:lang w:val="en-US" w:eastAsia="ru-RU"/>
        </w:rPr>
        <w:t>Centifanto</w:t>
      </w:r>
      <w:proofErr w:type="spellEnd"/>
      <w:r w:rsidRPr="00A34E01">
        <w:rPr>
          <w:rFonts w:ascii="Arial" w:eastAsia="Times New Roman" w:hAnsi="Arial" w:cs="Arial"/>
          <w:color w:val="000000" w:themeColor="text1"/>
          <w:sz w:val="24"/>
          <w:szCs w:val="24"/>
          <w:lang w:val="en-US" w:eastAsia="ru-RU"/>
        </w:rPr>
        <w:t xml:space="preserve"> Y.M., Ellison E.D., Brown D.C. </w:t>
      </w:r>
      <w:proofErr w:type="spellStart"/>
      <w:r w:rsidRPr="00A34E01">
        <w:rPr>
          <w:rFonts w:ascii="Arial" w:eastAsia="Times New Roman" w:hAnsi="Arial" w:cs="Arial"/>
          <w:color w:val="000000" w:themeColor="text1"/>
          <w:sz w:val="24"/>
          <w:szCs w:val="24"/>
          <w:lang w:val="en-US" w:eastAsia="ru-RU"/>
        </w:rPr>
        <w:t>Tilorone</w:t>
      </w:r>
      <w:proofErr w:type="spellEnd"/>
      <w:r w:rsidRPr="00A34E01">
        <w:rPr>
          <w:rFonts w:ascii="Arial" w:eastAsia="Times New Roman" w:hAnsi="Arial" w:cs="Arial"/>
          <w:color w:val="000000" w:themeColor="text1"/>
          <w:sz w:val="24"/>
          <w:szCs w:val="24"/>
          <w:lang w:val="en-US" w:eastAsia="ru-RU"/>
        </w:rPr>
        <w:t xml:space="preserve"> hydrochloride: human toxicity and interferon stimulation. </w:t>
      </w:r>
      <w:proofErr w:type="spellStart"/>
      <w:r w:rsidRPr="00A34E01">
        <w:rPr>
          <w:rFonts w:ascii="Arial" w:eastAsia="Times New Roman" w:hAnsi="Arial" w:cs="Arial"/>
          <w:color w:val="000000" w:themeColor="text1"/>
          <w:sz w:val="24"/>
          <w:szCs w:val="24"/>
          <w:lang w:val="en-US" w:eastAsia="ru-RU"/>
        </w:rPr>
        <w:t>Proc</w:t>
      </w:r>
      <w:proofErr w:type="spellEnd"/>
      <w:r w:rsidRPr="00A34E01">
        <w:rPr>
          <w:rFonts w:ascii="Arial" w:eastAsia="Times New Roman" w:hAnsi="Arial" w:cs="Arial"/>
          <w:color w:val="000000" w:themeColor="text1"/>
          <w:sz w:val="24"/>
          <w:szCs w:val="24"/>
          <w:lang w:val="en-US" w:eastAsia="ru-RU"/>
        </w:rPr>
        <w:t xml:space="preserve"> </w:t>
      </w:r>
      <w:proofErr w:type="spellStart"/>
      <w:r w:rsidRPr="00A34E01">
        <w:rPr>
          <w:rFonts w:ascii="Arial" w:eastAsia="Times New Roman" w:hAnsi="Arial" w:cs="Arial"/>
          <w:color w:val="000000" w:themeColor="text1"/>
          <w:sz w:val="24"/>
          <w:szCs w:val="24"/>
          <w:lang w:val="en-US" w:eastAsia="ru-RU"/>
        </w:rPr>
        <w:t>Soc</w:t>
      </w:r>
      <w:proofErr w:type="spellEnd"/>
      <w:r w:rsidRPr="00A34E01">
        <w:rPr>
          <w:rFonts w:ascii="Arial" w:eastAsia="Times New Roman" w:hAnsi="Arial" w:cs="Arial"/>
          <w:color w:val="000000" w:themeColor="text1"/>
          <w:sz w:val="24"/>
          <w:szCs w:val="24"/>
          <w:lang w:val="en-US" w:eastAsia="ru-RU"/>
        </w:rPr>
        <w:t xml:space="preserve"> </w:t>
      </w:r>
      <w:proofErr w:type="spellStart"/>
      <w:r w:rsidRPr="00A34E01">
        <w:rPr>
          <w:rFonts w:ascii="Arial" w:eastAsia="Times New Roman" w:hAnsi="Arial" w:cs="Arial"/>
          <w:color w:val="000000" w:themeColor="text1"/>
          <w:sz w:val="24"/>
          <w:szCs w:val="24"/>
          <w:lang w:val="en-US" w:eastAsia="ru-RU"/>
        </w:rPr>
        <w:t>Exp</w:t>
      </w:r>
      <w:proofErr w:type="spellEnd"/>
      <w:r w:rsidRPr="00A34E01">
        <w:rPr>
          <w:rFonts w:ascii="Arial" w:eastAsia="Times New Roman" w:hAnsi="Arial" w:cs="Arial"/>
          <w:color w:val="000000" w:themeColor="text1"/>
          <w:sz w:val="24"/>
          <w:szCs w:val="24"/>
          <w:lang w:val="en-US" w:eastAsia="ru-RU"/>
        </w:rPr>
        <w:t xml:space="preserve"> </w:t>
      </w:r>
      <w:proofErr w:type="spellStart"/>
      <w:r w:rsidRPr="00A34E01">
        <w:rPr>
          <w:rFonts w:ascii="Arial" w:eastAsia="Times New Roman" w:hAnsi="Arial" w:cs="Arial"/>
          <w:color w:val="000000" w:themeColor="text1"/>
          <w:sz w:val="24"/>
          <w:szCs w:val="24"/>
          <w:lang w:val="en-US" w:eastAsia="ru-RU"/>
        </w:rPr>
        <w:t>Biol</w:t>
      </w:r>
      <w:proofErr w:type="spellEnd"/>
      <w:r w:rsidRPr="00A34E01">
        <w:rPr>
          <w:rFonts w:ascii="Arial" w:eastAsia="Times New Roman" w:hAnsi="Arial" w:cs="Arial"/>
          <w:color w:val="000000" w:themeColor="text1"/>
          <w:sz w:val="24"/>
          <w:szCs w:val="24"/>
          <w:lang w:val="en-US" w:eastAsia="ru-RU"/>
        </w:rPr>
        <w:t xml:space="preserve"> Med 1971;137(1):357–360. </w:t>
      </w:r>
    </w:p>
    <w:p w:rsidR="00CC1689" w:rsidRPr="00A34E01" w:rsidRDefault="00CC1689" w:rsidP="00A34E01">
      <w:pPr>
        <w:pStyle w:val="a7"/>
        <w:numPr>
          <w:ilvl w:val="0"/>
          <w:numId w:val="2"/>
        </w:numPr>
        <w:shd w:val="clear" w:color="auto" w:fill="FFFFFF"/>
        <w:spacing w:after="0" w:line="360" w:lineRule="auto"/>
        <w:ind w:left="0" w:firstLine="0"/>
        <w:jc w:val="both"/>
        <w:rPr>
          <w:rFonts w:ascii="Arial" w:eastAsia="Times New Roman" w:hAnsi="Arial" w:cs="Arial"/>
          <w:color w:val="000000" w:themeColor="text1"/>
          <w:sz w:val="24"/>
          <w:szCs w:val="24"/>
          <w:lang w:val="en-US" w:eastAsia="ru-RU"/>
        </w:rPr>
      </w:pPr>
      <w:r w:rsidRPr="00A34E01">
        <w:rPr>
          <w:rFonts w:ascii="Arial" w:eastAsia="Times New Roman" w:hAnsi="Arial" w:cs="Arial"/>
          <w:color w:val="000000" w:themeColor="text1"/>
          <w:sz w:val="24"/>
          <w:szCs w:val="24"/>
          <w:lang w:val="en-US" w:eastAsia="ru-RU"/>
        </w:rPr>
        <w:t xml:space="preserve">Krueger R.E., Mayer G.D. </w:t>
      </w:r>
      <w:proofErr w:type="spellStart"/>
      <w:r w:rsidRPr="00A34E01">
        <w:rPr>
          <w:rFonts w:ascii="Arial" w:eastAsia="Times New Roman" w:hAnsi="Arial" w:cs="Arial"/>
          <w:color w:val="000000" w:themeColor="text1"/>
          <w:sz w:val="24"/>
          <w:szCs w:val="24"/>
          <w:lang w:val="en-US" w:eastAsia="ru-RU"/>
        </w:rPr>
        <w:t>Tilorone</w:t>
      </w:r>
      <w:proofErr w:type="spellEnd"/>
      <w:r w:rsidRPr="00A34E01">
        <w:rPr>
          <w:rFonts w:ascii="Arial" w:eastAsia="Times New Roman" w:hAnsi="Arial" w:cs="Arial"/>
          <w:color w:val="000000" w:themeColor="text1"/>
          <w:sz w:val="24"/>
          <w:szCs w:val="24"/>
          <w:lang w:val="en-US" w:eastAsia="ru-RU"/>
        </w:rPr>
        <w:t xml:space="preserve"> hydrochloride: an orally active antiviral agent. Science 1970;169 (3951):1213–1214.  </w:t>
      </w:r>
    </w:p>
    <w:p w:rsidR="00CC1689" w:rsidRPr="00A34E01" w:rsidRDefault="00CC1689" w:rsidP="00A34E01">
      <w:pPr>
        <w:pStyle w:val="a7"/>
        <w:numPr>
          <w:ilvl w:val="0"/>
          <w:numId w:val="2"/>
        </w:numPr>
        <w:spacing w:after="0" w:line="360" w:lineRule="auto"/>
        <w:ind w:left="0" w:firstLine="0"/>
        <w:jc w:val="both"/>
        <w:rPr>
          <w:rFonts w:ascii="Arial" w:hAnsi="Arial" w:cs="Arial"/>
          <w:color w:val="000000" w:themeColor="text1"/>
          <w:sz w:val="24"/>
          <w:szCs w:val="24"/>
          <w:shd w:val="clear" w:color="auto" w:fill="FFFFFF"/>
          <w:lang w:val="en-US"/>
        </w:rPr>
      </w:pPr>
      <w:proofErr w:type="spellStart"/>
      <w:r w:rsidRPr="00A34E01">
        <w:rPr>
          <w:rStyle w:val="element-citation"/>
          <w:rFonts w:ascii="Arial" w:hAnsi="Arial" w:cs="Arial"/>
          <w:color w:val="000000" w:themeColor="text1"/>
          <w:sz w:val="24"/>
          <w:szCs w:val="24"/>
          <w:shd w:val="clear" w:color="auto" w:fill="FFFFFF"/>
          <w:lang w:val="en-US"/>
        </w:rPr>
        <w:t>Kuehne</w:t>
      </w:r>
      <w:proofErr w:type="spellEnd"/>
      <w:r w:rsidRPr="00A34E01">
        <w:rPr>
          <w:rStyle w:val="element-citation"/>
          <w:rFonts w:ascii="Arial" w:hAnsi="Arial" w:cs="Arial"/>
          <w:color w:val="000000" w:themeColor="text1"/>
          <w:sz w:val="24"/>
          <w:szCs w:val="24"/>
          <w:shd w:val="clear" w:color="auto" w:fill="FFFFFF"/>
          <w:lang w:val="en-US"/>
        </w:rPr>
        <w:t xml:space="preserve"> R.W., Pannier W.L., Stephen EL. Evaluation of various analogues of </w:t>
      </w:r>
      <w:proofErr w:type="spellStart"/>
      <w:r w:rsidRPr="00A34E01">
        <w:rPr>
          <w:rStyle w:val="element-citation"/>
          <w:rFonts w:ascii="Arial" w:hAnsi="Arial" w:cs="Arial"/>
          <w:color w:val="000000" w:themeColor="text1"/>
          <w:sz w:val="24"/>
          <w:szCs w:val="24"/>
          <w:shd w:val="clear" w:color="auto" w:fill="FFFFFF"/>
          <w:lang w:val="en-US"/>
        </w:rPr>
        <w:t>tilorone</w:t>
      </w:r>
      <w:proofErr w:type="spellEnd"/>
      <w:r w:rsidRPr="00A34E01">
        <w:rPr>
          <w:rStyle w:val="element-citation"/>
          <w:rFonts w:ascii="Arial" w:hAnsi="Arial" w:cs="Arial"/>
          <w:color w:val="000000" w:themeColor="text1"/>
          <w:sz w:val="24"/>
          <w:szCs w:val="24"/>
          <w:shd w:val="clear" w:color="auto" w:fill="FFFFFF"/>
          <w:lang w:val="en-US"/>
        </w:rPr>
        <w:t xml:space="preserve"> hydrochloride against Venezuelan equine encephalitis virus in mice. </w:t>
      </w:r>
      <w:proofErr w:type="spellStart"/>
      <w:r w:rsidR="00A34E01" w:rsidRPr="00A34E01">
        <w:rPr>
          <w:rStyle w:val="ref-journal"/>
          <w:rFonts w:ascii="Arial" w:hAnsi="Arial" w:cs="Arial"/>
          <w:color w:val="000000" w:themeColor="text1"/>
          <w:sz w:val="24"/>
          <w:szCs w:val="24"/>
          <w:shd w:val="clear" w:color="auto" w:fill="FFFFFF"/>
          <w:lang w:val="en-US"/>
        </w:rPr>
        <w:t>Antimicrob</w:t>
      </w:r>
      <w:proofErr w:type="spellEnd"/>
      <w:r w:rsidR="00A34E01" w:rsidRPr="00A34E01">
        <w:rPr>
          <w:rStyle w:val="ref-journal"/>
          <w:rFonts w:ascii="Arial" w:hAnsi="Arial" w:cs="Arial"/>
          <w:color w:val="000000" w:themeColor="text1"/>
          <w:sz w:val="24"/>
          <w:szCs w:val="24"/>
          <w:shd w:val="clear" w:color="auto" w:fill="FFFFFF"/>
          <w:lang w:val="en-US"/>
        </w:rPr>
        <w:t xml:space="preserve"> Agents </w:t>
      </w:r>
      <w:proofErr w:type="spellStart"/>
      <w:r w:rsidR="00A34E01" w:rsidRPr="00A34E01">
        <w:rPr>
          <w:rStyle w:val="ref-journal"/>
          <w:rFonts w:ascii="Arial" w:hAnsi="Arial" w:cs="Arial"/>
          <w:color w:val="000000" w:themeColor="text1"/>
          <w:sz w:val="24"/>
          <w:szCs w:val="24"/>
          <w:shd w:val="clear" w:color="auto" w:fill="FFFFFF"/>
          <w:lang w:val="en-US"/>
        </w:rPr>
        <w:t>Chemother</w:t>
      </w:r>
      <w:proofErr w:type="spellEnd"/>
      <w:r w:rsidR="00A34E01" w:rsidRPr="00A34E01">
        <w:rPr>
          <w:rStyle w:val="ref-journal"/>
          <w:rFonts w:ascii="Arial" w:hAnsi="Arial" w:cs="Arial"/>
          <w:color w:val="000000" w:themeColor="text1"/>
          <w:sz w:val="24"/>
          <w:szCs w:val="24"/>
          <w:shd w:val="clear" w:color="auto" w:fill="FFFFFF"/>
          <w:lang w:val="en-US"/>
        </w:rPr>
        <w:t xml:space="preserve"> </w:t>
      </w:r>
      <w:r w:rsidRPr="00A34E01">
        <w:rPr>
          <w:rStyle w:val="element-citation"/>
          <w:rFonts w:ascii="Arial" w:hAnsi="Arial" w:cs="Arial"/>
          <w:color w:val="000000" w:themeColor="text1"/>
          <w:sz w:val="24"/>
          <w:szCs w:val="24"/>
          <w:shd w:val="clear" w:color="auto" w:fill="FFFFFF"/>
          <w:lang w:val="en-US"/>
        </w:rPr>
        <w:t>1977;</w:t>
      </w:r>
      <w:r w:rsidRPr="00A34E01">
        <w:rPr>
          <w:rStyle w:val="ref-vol"/>
          <w:rFonts w:ascii="Arial" w:hAnsi="Arial" w:cs="Arial"/>
          <w:color w:val="000000" w:themeColor="text1"/>
          <w:sz w:val="24"/>
          <w:szCs w:val="24"/>
          <w:shd w:val="clear" w:color="auto" w:fill="FFFFFF"/>
          <w:lang w:val="en-US"/>
        </w:rPr>
        <w:t>11</w:t>
      </w:r>
      <w:r w:rsidRPr="00A34E01">
        <w:rPr>
          <w:rStyle w:val="element-citation"/>
          <w:rFonts w:ascii="Arial" w:hAnsi="Arial" w:cs="Arial"/>
          <w:color w:val="000000" w:themeColor="text1"/>
          <w:sz w:val="24"/>
          <w:szCs w:val="24"/>
          <w:shd w:val="clear" w:color="auto" w:fill="FFFFFF"/>
          <w:lang w:val="en-US"/>
        </w:rPr>
        <w:t>(1):92–97.</w:t>
      </w:r>
    </w:p>
    <w:p w:rsidR="00CC1689" w:rsidRPr="00A34E01" w:rsidRDefault="00CC1689" w:rsidP="00A34E01">
      <w:pPr>
        <w:pStyle w:val="a7"/>
        <w:numPr>
          <w:ilvl w:val="0"/>
          <w:numId w:val="2"/>
        </w:numPr>
        <w:spacing w:after="0" w:line="360" w:lineRule="auto"/>
        <w:ind w:left="0" w:firstLine="0"/>
        <w:jc w:val="both"/>
        <w:rPr>
          <w:rFonts w:ascii="Arial" w:hAnsi="Arial" w:cs="Arial"/>
          <w:color w:val="000000" w:themeColor="text1"/>
          <w:sz w:val="24"/>
          <w:szCs w:val="24"/>
          <w:shd w:val="clear" w:color="auto" w:fill="FFFFFF"/>
          <w:lang w:val="en-US"/>
        </w:rPr>
      </w:pPr>
      <w:r w:rsidRPr="00A34E01">
        <w:rPr>
          <w:rFonts w:ascii="Arial" w:hAnsi="Arial" w:cs="Arial"/>
          <w:color w:val="000000" w:themeColor="text1"/>
          <w:sz w:val="24"/>
          <w:szCs w:val="24"/>
          <w:shd w:val="clear" w:color="auto" w:fill="FFFFFF"/>
          <w:lang w:val="en-US"/>
        </w:rPr>
        <w:t xml:space="preserve">Lane T.R., Massey C., Comer J.E., </w:t>
      </w:r>
      <w:proofErr w:type="spellStart"/>
      <w:r w:rsidRPr="00A34E01">
        <w:rPr>
          <w:rFonts w:ascii="Arial" w:hAnsi="Arial" w:cs="Arial"/>
          <w:color w:val="000000" w:themeColor="text1"/>
          <w:sz w:val="24"/>
          <w:szCs w:val="24"/>
          <w:shd w:val="clear" w:color="auto" w:fill="FFFFFF"/>
          <w:lang w:val="en-US"/>
        </w:rPr>
        <w:t>Anantpadma</w:t>
      </w:r>
      <w:proofErr w:type="spellEnd"/>
      <w:r w:rsidRPr="00A34E01">
        <w:rPr>
          <w:rFonts w:ascii="Arial" w:hAnsi="Arial" w:cs="Arial"/>
          <w:color w:val="000000" w:themeColor="text1"/>
          <w:sz w:val="24"/>
          <w:szCs w:val="24"/>
          <w:shd w:val="clear" w:color="auto" w:fill="FFFFFF"/>
          <w:lang w:val="en-US"/>
        </w:rPr>
        <w:t xml:space="preserve"> M., </w:t>
      </w:r>
      <w:proofErr w:type="spellStart"/>
      <w:r w:rsidRPr="00A34E01">
        <w:rPr>
          <w:rFonts w:ascii="Arial" w:hAnsi="Arial" w:cs="Arial"/>
          <w:color w:val="000000" w:themeColor="text1"/>
          <w:sz w:val="24"/>
          <w:szCs w:val="24"/>
          <w:shd w:val="clear" w:color="auto" w:fill="FFFFFF"/>
          <w:lang w:val="en-US"/>
        </w:rPr>
        <w:t>Freundlich</w:t>
      </w:r>
      <w:proofErr w:type="spellEnd"/>
      <w:r w:rsidRPr="00A34E01">
        <w:rPr>
          <w:rFonts w:ascii="Arial" w:hAnsi="Arial" w:cs="Arial"/>
          <w:color w:val="000000" w:themeColor="text1"/>
          <w:sz w:val="24"/>
          <w:szCs w:val="24"/>
          <w:shd w:val="clear" w:color="auto" w:fill="FFFFFF"/>
          <w:lang w:val="en-US"/>
        </w:rPr>
        <w:t xml:space="preserve"> J.S., Davey R.A., Madrid P.B., Ekins S. Repurposing the antimalarial </w:t>
      </w:r>
      <w:proofErr w:type="spellStart"/>
      <w:r w:rsidRPr="00A34E01">
        <w:rPr>
          <w:rFonts w:ascii="Arial" w:hAnsi="Arial" w:cs="Arial"/>
          <w:color w:val="000000" w:themeColor="text1"/>
          <w:sz w:val="24"/>
          <w:szCs w:val="24"/>
          <w:shd w:val="clear" w:color="auto" w:fill="FFFFFF"/>
          <w:lang w:val="en-US"/>
        </w:rPr>
        <w:t>pyronaridine</w:t>
      </w:r>
      <w:proofErr w:type="spellEnd"/>
      <w:r w:rsidRPr="00A34E01">
        <w:rPr>
          <w:rFonts w:ascii="Arial" w:hAnsi="Arial" w:cs="Arial"/>
          <w:color w:val="000000" w:themeColor="text1"/>
          <w:sz w:val="24"/>
          <w:szCs w:val="24"/>
          <w:shd w:val="clear" w:color="auto" w:fill="FFFFFF"/>
          <w:lang w:val="en-US"/>
        </w:rPr>
        <w:t xml:space="preserve"> </w:t>
      </w:r>
      <w:proofErr w:type="spellStart"/>
      <w:r w:rsidRPr="00A34E01">
        <w:rPr>
          <w:rFonts w:ascii="Arial" w:hAnsi="Arial" w:cs="Arial"/>
          <w:color w:val="000000" w:themeColor="text1"/>
          <w:sz w:val="24"/>
          <w:szCs w:val="24"/>
          <w:shd w:val="clear" w:color="auto" w:fill="FFFFFF"/>
          <w:lang w:val="en-US"/>
        </w:rPr>
        <w:t>tetraphosphate</w:t>
      </w:r>
      <w:proofErr w:type="spellEnd"/>
      <w:r w:rsidRPr="00A34E01">
        <w:rPr>
          <w:rFonts w:ascii="Arial" w:hAnsi="Arial" w:cs="Arial"/>
          <w:color w:val="000000" w:themeColor="text1"/>
          <w:sz w:val="24"/>
          <w:szCs w:val="24"/>
          <w:shd w:val="clear" w:color="auto" w:fill="FFFFFF"/>
          <w:lang w:val="en-US"/>
        </w:rPr>
        <w:t xml:space="preserve"> to protect against Ebola viru</w:t>
      </w:r>
      <w:r w:rsidR="00A34E01" w:rsidRPr="00A34E01">
        <w:rPr>
          <w:rFonts w:ascii="Arial" w:hAnsi="Arial" w:cs="Arial"/>
          <w:color w:val="000000" w:themeColor="text1"/>
          <w:sz w:val="24"/>
          <w:szCs w:val="24"/>
          <w:shd w:val="clear" w:color="auto" w:fill="FFFFFF"/>
          <w:lang w:val="en-US"/>
        </w:rPr>
        <w:t xml:space="preserve">s infection. </w:t>
      </w:r>
      <w:proofErr w:type="spellStart"/>
      <w:r w:rsidR="00A34E01" w:rsidRPr="00A34E01">
        <w:rPr>
          <w:rFonts w:ascii="Arial" w:hAnsi="Arial" w:cs="Arial"/>
          <w:color w:val="000000" w:themeColor="text1"/>
          <w:sz w:val="24"/>
          <w:szCs w:val="24"/>
          <w:shd w:val="clear" w:color="auto" w:fill="FFFFFF"/>
          <w:lang w:val="en-US"/>
        </w:rPr>
        <w:t>PLoS</w:t>
      </w:r>
      <w:proofErr w:type="spellEnd"/>
      <w:r w:rsidR="00A34E01" w:rsidRPr="00A34E01">
        <w:rPr>
          <w:rFonts w:ascii="Arial" w:hAnsi="Arial" w:cs="Arial"/>
          <w:color w:val="000000" w:themeColor="text1"/>
          <w:sz w:val="24"/>
          <w:szCs w:val="24"/>
          <w:shd w:val="clear" w:color="auto" w:fill="FFFFFF"/>
          <w:lang w:val="en-US"/>
        </w:rPr>
        <w:t xml:space="preserve"> </w:t>
      </w:r>
      <w:proofErr w:type="spellStart"/>
      <w:r w:rsidR="00A34E01" w:rsidRPr="00A34E01">
        <w:rPr>
          <w:rFonts w:ascii="Arial" w:hAnsi="Arial" w:cs="Arial"/>
          <w:color w:val="000000" w:themeColor="text1"/>
          <w:sz w:val="24"/>
          <w:szCs w:val="24"/>
          <w:shd w:val="clear" w:color="auto" w:fill="FFFFFF"/>
          <w:lang w:val="en-US"/>
        </w:rPr>
        <w:t>Negl</w:t>
      </w:r>
      <w:proofErr w:type="spellEnd"/>
      <w:r w:rsidR="00A34E01" w:rsidRPr="00A34E01">
        <w:rPr>
          <w:rFonts w:ascii="Arial" w:hAnsi="Arial" w:cs="Arial"/>
          <w:color w:val="000000" w:themeColor="text1"/>
          <w:sz w:val="24"/>
          <w:szCs w:val="24"/>
          <w:shd w:val="clear" w:color="auto" w:fill="FFFFFF"/>
          <w:lang w:val="en-US"/>
        </w:rPr>
        <w:t xml:space="preserve"> Trop Dis</w:t>
      </w:r>
      <w:r w:rsidRPr="00A34E01">
        <w:rPr>
          <w:rFonts w:ascii="Arial" w:hAnsi="Arial" w:cs="Arial"/>
          <w:color w:val="000000" w:themeColor="text1"/>
          <w:sz w:val="24"/>
          <w:szCs w:val="24"/>
          <w:shd w:val="clear" w:color="auto" w:fill="FFFFFF"/>
          <w:lang w:val="en-US"/>
        </w:rPr>
        <w:t xml:space="preserve"> 2019;13(11</w:t>
      </w:r>
      <w:proofErr w:type="gramStart"/>
      <w:r w:rsidRPr="00A34E01">
        <w:rPr>
          <w:rFonts w:ascii="Arial" w:hAnsi="Arial" w:cs="Arial"/>
          <w:color w:val="000000" w:themeColor="text1"/>
          <w:sz w:val="24"/>
          <w:szCs w:val="24"/>
          <w:shd w:val="clear" w:color="auto" w:fill="FFFFFF"/>
          <w:lang w:val="en-US"/>
        </w:rPr>
        <w:t>):e</w:t>
      </w:r>
      <w:proofErr w:type="gramEnd"/>
      <w:r w:rsidRPr="00A34E01">
        <w:rPr>
          <w:rFonts w:ascii="Arial" w:hAnsi="Arial" w:cs="Arial"/>
          <w:color w:val="000000" w:themeColor="text1"/>
          <w:sz w:val="24"/>
          <w:szCs w:val="24"/>
          <w:shd w:val="clear" w:color="auto" w:fill="FFFFFF"/>
          <w:lang w:val="en-US"/>
        </w:rPr>
        <w:t>0007890. DOI: 10.1371/journal.pntd.0007890.</w:t>
      </w:r>
    </w:p>
    <w:p w:rsidR="00EB41AB" w:rsidRPr="00A34E01" w:rsidRDefault="00EB41AB" w:rsidP="00A34E01">
      <w:pPr>
        <w:pStyle w:val="a7"/>
        <w:numPr>
          <w:ilvl w:val="0"/>
          <w:numId w:val="2"/>
        </w:numPr>
        <w:spacing w:after="0" w:line="360" w:lineRule="auto"/>
        <w:ind w:left="0" w:firstLine="0"/>
        <w:jc w:val="both"/>
        <w:rPr>
          <w:rFonts w:ascii="Arial" w:hAnsi="Arial" w:cs="Arial"/>
          <w:color w:val="000000" w:themeColor="text1"/>
          <w:sz w:val="24"/>
          <w:szCs w:val="24"/>
          <w:lang w:val="en-US"/>
        </w:rPr>
      </w:pPr>
      <w:proofErr w:type="spellStart"/>
      <w:r w:rsidRPr="00A34E01">
        <w:rPr>
          <w:rFonts w:ascii="Arial" w:hAnsi="Arial" w:cs="Arial"/>
          <w:color w:val="000000" w:themeColor="text1"/>
          <w:sz w:val="24"/>
          <w:szCs w:val="24"/>
          <w:lang w:val="en-US"/>
        </w:rPr>
        <w:t>Letko</w:t>
      </w:r>
      <w:proofErr w:type="spellEnd"/>
      <w:r w:rsidRPr="00A34E01">
        <w:rPr>
          <w:rFonts w:ascii="Arial" w:hAnsi="Arial" w:cs="Arial"/>
          <w:color w:val="000000" w:themeColor="text1"/>
          <w:sz w:val="24"/>
          <w:szCs w:val="24"/>
          <w:lang w:val="en-US"/>
        </w:rPr>
        <w:t xml:space="preserve"> M., </w:t>
      </w:r>
      <w:proofErr w:type="spellStart"/>
      <w:r w:rsidRPr="00A34E01">
        <w:rPr>
          <w:rFonts w:ascii="Arial" w:hAnsi="Arial" w:cs="Arial"/>
          <w:color w:val="000000" w:themeColor="text1"/>
          <w:sz w:val="24"/>
          <w:szCs w:val="24"/>
          <w:lang w:val="en-US"/>
        </w:rPr>
        <w:t>Marzi</w:t>
      </w:r>
      <w:proofErr w:type="spellEnd"/>
      <w:r w:rsidRPr="00A34E01">
        <w:rPr>
          <w:rFonts w:ascii="Arial" w:hAnsi="Arial" w:cs="Arial"/>
          <w:color w:val="000000" w:themeColor="text1"/>
          <w:sz w:val="24"/>
          <w:szCs w:val="24"/>
          <w:lang w:val="en-US"/>
        </w:rPr>
        <w:t xml:space="preserve">, A. &amp; Munster, V. Functional assessment of cell entry and receptor usage for SARS-CoV-2 and other lineage B </w:t>
      </w:r>
      <w:proofErr w:type="spellStart"/>
      <w:r w:rsidRPr="00A34E01">
        <w:rPr>
          <w:rFonts w:ascii="Arial" w:hAnsi="Arial" w:cs="Arial"/>
          <w:color w:val="000000" w:themeColor="text1"/>
          <w:sz w:val="24"/>
          <w:szCs w:val="24"/>
          <w:lang w:val="en-US"/>
        </w:rPr>
        <w:t>betacor</w:t>
      </w:r>
      <w:r w:rsidR="00A34E01" w:rsidRPr="00A34E01">
        <w:rPr>
          <w:rFonts w:ascii="Arial" w:hAnsi="Arial" w:cs="Arial"/>
          <w:color w:val="000000" w:themeColor="text1"/>
          <w:sz w:val="24"/>
          <w:szCs w:val="24"/>
          <w:lang w:val="en-US"/>
        </w:rPr>
        <w:t>onaviruses</w:t>
      </w:r>
      <w:proofErr w:type="spellEnd"/>
      <w:r w:rsidR="00A34E01" w:rsidRPr="00A34E01">
        <w:rPr>
          <w:rFonts w:ascii="Arial" w:hAnsi="Arial" w:cs="Arial"/>
          <w:color w:val="000000" w:themeColor="text1"/>
          <w:sz w:val="24"/>
          <w:szCs w:val="24"/>
          <w:lang w:val="en-US"/>
        </w:rPr>
        <w:t xml:space="preserve">. Nat </w:t>
      </w:r>
      <w:proofErr w:type="spellStart"/>
      <w:r w:rsidR="00A34E01" w:rsidRPr="00A34E01">
        <w:rPr>
          <w:rFonts w:ascii="Arial" w:hAnsi="Arial" w:cs="Arial"/>
          <w:color w:val="000000" w:themeColor="text1"/>
          <w:sz w:val="24"/>
          <w:szCs w:val="24"/>
          <w:lang w:val="en-US"/>
        </w:rPr>
        <w:t>Microbiol</w:t>
      </w:r>
      <w:proofErr w:type="spellEnd"/>
      <w:r w:rsidR="00A34E01" w:rsidRPr="00A34E01">
        <w:rPr>
          <w:rFonts w:ascii="Arial" w:hAnsi="Arial" w:cs="Arial"/>
          <w:color w:val="000000" w:themeColor="text1"/>
          <w:sz w:val="24"/>
          <w:szCs w:val="24"/>
          <w:lang w:val="en-US"/>
        </w:rPr>
        <w:t xml:space="preserve"> 2020;</w:t>
      </w:r>
      <w:r w:rsidRPr="00A34E01">
        <w:rPr>
          <w:rFonts w:ascii="Arial" w:hAnsi="Arial" w:cs="Arial"/>
          <w:color w:val="000000" w:themeColor="text1"/>
          <w:sz w:val="24"/>
          <w:szCs w:val="24"/>
          <w:lang w:val="en-US"/>
        </w:rPr>
        <w:t xml:space="preserve">(5):562–569. </w:t>
      </w:r>
      <w:hyperlink r:id="rId6" w:history="1">
        <w:r w:rsidRPr="00A34E01">
          <w:rPr>
            <w:rStyle w:val="a5"/>
            <w:rFonts w:ascii="Arial" w:hAnsi="Arial" w:cs="Arial"/>
            <w:color w:val="000000" w:themeColor="text1"/>
            <w:sz w:val="24"/>
            <w:szCs w:val="24"/>
            <w:u w:val="none"/>
            <w:lang w:val="en-US"/>
          </w:rPr>
          <w:t>DOI: 10.1038/s41564-020-0688-y</w:t>
        </w:r>
      </w:hyperlink>
      <w:r w:rsidRPr="00A34E01">
        <w:rPr>
          <w:rStyle w:val="a5"/>
          <w:rFonts w:ascii="Arial" w:hAnsi="Arial" w:cs="Arial"/>
          <w:color w:val="000000" w:themeColor="text1"/>
          <w:sz w:val="24"/>
          <w:szCs w:val="24"/>
          <w:u w:val="none"/>
          <w:lang w:val="en-US"/>
        </w:rPr>
        <w:t>.</w:t>
      </w:r>
    </w:p>
    <w:p w:rsidR="00EB41AB" w:rsidRPr="00A34E01" w:rsidRDefault="00EB41AB" w:rsidP="00A34E01">
      <w:pPr>
        <w:pStyle w:val="a7"/>
        <w:numPr>
          <w:ilvl w:val="0"/>
          <w:numId w:val="2"/>
        </w:numPr>
        <w:spacing w:after="0" w:line="360" w:lineRule="auto"/>
        <w:ind w:left="0" w:firstLine="0"/>
        <w:jc w:val="both"/>
        <w:rPr>
          <w:rFonts w:ascii="Arial" w:hAnsi="Arial" w:cs="Arial"/>
          <w:color w:val="000000" w:themeColor="text1"/>
          <w:sz w:val="24"/>
          <w:szCs w:val="24"/>
          <w:lang w:val="en-US"/>
        </w:rPr>
      </w:pPr>
      <w:r w:rsidRPr="00A34E01">
        <w:rPr>
          <w:rFonts w:ascii="Arial" w:hAnsi="Arial" w:cs="Arial"/>
          <w:color w:val="000000" w:themeColor="text1"/>
          <w:sz w:val="24"/>
          <w:szCs w:val="24"/>
          <w:lang w:val="en-US"/>
        </w:rPr>
        <w:t xml:space="preserve">Liu C., Zhou Q., Li Y., Garner L. V., Watkins S. P., Carter L. J., Smoot J., Gregg A. C., Daniels A. D., </w:t>
      </w:r>
      <w:proofErr w:type="spellStart"/>
      <w:r w:rsidRPr="00A34E01">
        <w:rPr>
          <w:rFonts w:ascii="Arial" w:hAnsi="Arial" w:cs="Arial"/>
          <w:color w:val="000000" w:themeColor="text1"/>
          <w:sz w:val="24"/>
          <w:szCs w:val="24"/>
          <w:lang w:val="en-US"/>
        </w:rPr>
        <w:t>Jervey</w:t>
      </w:r>
      <w:proofErr w:type="spellEnd"/>
      <w:r w:rsidRPr="00A34E01">
        <w:rPr>
          <w:rFonts w:ascii="Arial" w:hAnsi="Arial" w:cs="Arial"/>
          <w:color w:val="000000" w:themeColor="text1"/>
          <w:sz w:val="24"/>
          <w:szCs w:val="24"/>
          <w:lang w:val="en-US"/>
        </w:rPr>
        <w:t xml:space="preserve"> S., </w:t>
      </w:r>
      <w:proofErr w:type="spellStart"/>
      <w:r w:rsidRPr="00A34E01">
        <w:rPr>
          <w:rFonts w:ascii="Arial" w:hAnsi="Arial" w:cs="Arial"/>
          <w:color w:val="000000" w:themeColor="text1"/>
          <w:sz w:val="24"/>
          <w:szCs w:val="24"/>
          <w:lang w:val="en-US"/>
        </w:rPr>
        <w:t>Albaiu</w:t>
      </w:r>
      <w:proofErr w:type="spellEnd"/>
      <w:r w:rsidRPr="00A34E01">
        <w:rPr>
          <w:rFonts w:ascii="Arial" w:hAnsi="Arial" w:cs="Arial"/>
          <w:color w:val="000000" w:themeColor="text1"/>
          <w:sz w:val="24"/>
          <w:szCs w:val="24"/>
          <w:lang w:val="en-US"/>
        </w:rPr>
        <w:t xml:space="preserve"> D., Research and Development on Therapeutic </w:t>
      </w:r>
      <w:r w:rsidRPr="00A34E01">
        <w:rPr>
          <w:rFonts w:ascii="Arial" w:hAnsi="Arial" w:cs="Arial"/>
          <w:color w:val="000000" w:themeColor="text1"/>
          <w:sz w:val="24"/>
          <w:szCs w:val="24"/>
          <w:lang w:val="en-US"/>
        </w:rPr>
        <w:lastRenderedPageBreak/>
        <w:t>Agents and Vaccines for COVID-19 and Related Human Coronavirus Diseases. ACS</w:t>
      </w:r>
      <w:r w:rsidRPr="00A34E01">
        <w:rPr>
          <w:rFonts w:ascii="Arial" w:hAnsi="Arial" w:cs="Arial"/>
          <w:color w:val="000000" w:themeColor="text1"/>
          <w:sz w:val="24"/>
          <w:szCs w:val="24"/>
        </w:rPr>
        <w:t xml:space="preserve"> </w:t>
      </w:r>
      <w:r w:rsidRPr="00A34E01">
        <w:rPr>
          <w:rFonts w:ascii="Arial" w:hAnsi="Arial" w:cs="Arial"/>
          <w:color w:val="000000" w:themeColor="text1"/>
          <w:sz w:val="24"/>
          <w:szCs w:val="24"/>
          <w:lang w:val="en-US"/>
        </w:rPr>
        <w:t>Cent</w:t>
      </w:r>
      <w:r w:rsidRPr="00A34E01">
        <w:rPr>
          <w:rFonts w:ascii="Arial" w:hAnsi="Arial" w:cs="Arial"/>
          <w:color w:val="000000" w:themeColor="text1"/>
          <w:sz w:val="24"/>
          <w:szCs w:val="24"/>
        </w:rPr>
        <w:t xml:space="preserve">. </w:t>
      </w:r>
      <w:proofErr w:type="spellStart"/>
      <w:r w:rsidRPr="00A34E01">
        <w:rPr>
          <w:rFonts w:ascii="Arial" w:hAnsi="Arial" w:cs="Arial"/>
          <w:color w:val="000000" w:themeColor="text1"/>
          <w:sz w:val="24"/>
          <w:szCs w:val="24"/>
          <w:lang w:val="en-US"/>
        </w:rPr>
        <w:t>Sci</w:t>
      </w:r>
      <w:proofErr w:type="spellEnd"/>
      <w:r w:rsidRPr="00A34E01">
        <w:rPr>
          <w:rFonts w:ascii="Arial" w:hAnsi="Arial" w:cs="Arial"/>
          <w:color w:val="000000" w:themeColor="text1"/>
          <w:sz w:val="24"/>
          <w:szCs w:val="24"/>
        </w:rPr>
        <w:t xml:space="preserve"> 2</w:t>
      </w:r>
      <w:r w:rsidR="00A34E01" w:rsidRPr="00A34E01">
        <w:rPr>
          <w:rFonts w:ascii="Arial" w:hAnsi="Arial" w:cs="Arial"/>
          <w:color w:val="000000" w:themeColor="text1"/>
          <w:sz w:val="24"/>
          <w:szCs w:val="24"/>
        </w:rPr>
        <w:t>020;</w:t>
      </w:r>
      <w:r w:rsidRPr="00A34E01">
        <w:rPr>
          <w:rFonts w:ascii="Arial" w:hAnsi="Arial" w:cs="Arial"/>
          <w:color w:val="000000" w:themeColor="text1"/>
          <w:sz w:val="24"/>
          <w:szCs w:val="24"/>
        </w:rPr>
        <w:t xml:space="preserve">6(3):315–331. </w:t>
      </w:r>
      <w:r w:rsidRPr="00A34E01">
        <w:rPr>
          <w:rFonts w:ascii="Arial" w:hAnsi="Arial" w:cs="Arial"/>
          <w:color w:val="000000" w:themeColor="text1"/>
          <w:sz w:val="24"/>
          <w:szCs w:val="24"/>
          <w:lang w:val="en-US"/>
        </w:rPr>
        <w:t>DOI</w:t>
      </w:r>
      <w:r w:rsidRPr="00A34E01">
        <w:rPr>
          <w:rFonts w:ascii="Arial" w:hAnsi="Arial" w:cs="Arial"/>
          <w:color w:val="000000" w:themeColor="text1"/>
          <w:sz w:val="24"/>
          <w:szCs w:val="24"/>
        </w:rPr>
        <w:t>: 10.1021/</w:t>
      </w:r>
      <w:proofErr w:type="spellStart"/>
      <w:r w:rsidRPr="00A34E01">
        <w:rPr>
          <w:rFonts w:ascii="Arial" w:hAnsi="Arial" w:cs="Arial"/>
          <w:color w:val="000000" w:themeColor="text1"/>
          <w:sz w:val="24"/>
          <w:szCs w:val="24"/>
          <w:lang w:val="en-US"/>
        </w:rPr>
        <w:t>acscentsci</w:t>
      </w:r>
      <w:proofErr w:type="spellEnd"/>
      <w:r w:rsidRPr="00A34E01">
        <w:rPr>
          <w:rFonts w:ascii="Arial" w:hAnsi="Arial" w:cs="Arial"/>
          <w:color w:val="000000" w:themeColor="text1"/>
          <w:sz w:val="24"/>
          <w:szCs w:val="24"/>
        </w:rPr>
        <w:t>.0</w:t>
      </w:r>
      <w:r w:rsidRPr="00A34E01">
        <w:rPr>
          <w:rFonts w:ascii="Arial" w:hAnsi="Arial" w:cs="Arial"/>
          <w:color w:val="000000" w:themeColor="text1"/>
          <w:sz w:val="24"/>
          <w:szCs w:val="24"/>
          <w:lang w:val="en-US"/>
        </w:rPr>
        <w:t>c</w:t>
      </w:r>
      <w:r w:rsidRPr="00A34E01">
        <w:rPr>
          <w:rFonts w:ascii="Arial" w:hAnsi="Arial" w:cs="Arial"/>
          <w:color w:val="000000" w:themeColor="text1"/>
          <w:sz w:val="24"/>
          <w:szCs w:val="24"/>
        </w:rPr>
        <w:t>00272.</w:t>
      </w:r>
    </w:p>
    <w:p w:rsidR="00884538" w:rsidRPr="00A34E01" w:rsidRDefault="00884538" w:rsidP="00A34E01">
      <w:pPr>
        <w:pStyle w:val="a7"/>
        <w:numPr>
          <w:ilvl w:val="0"/>
          <w:numId w:val="2"/>
        </w:numPr>
        <w:spacing w:after="0" w:line="360" w:lineRule="auto"/>
        <w:ind w:left="0" w:firstLine="0"/>
        <w:jc w:val="both"/>
        <w:rPr>
          <w:rFonts w:ascii="Arial" w:hAnsi="Arial" w:cs="Arial"/>
          <w:color w:val="000000" w:themeColor="text1"/>
          <w:sz w:val="24"/>
          <w:szCs w:val="24"/>
          <w:lang w:val="en-US"/>
        </w:rPr>
      </w:pPr>
      <w:proofErr w:type="spellStart"/>
      <w:r w:rsidRPr="00A34E01">
        <w:rPr>
          <w:rFonts w:ascii="Arial" w:eastAsia="Times New Roman" w:hAnsi="Arial" w:cs="Arial"/>
          <w:iCs/>
          <w:color w:val="000000" w:themeColor="text1"/>
          <w:sz w:val="24"/>
          <w:szCs w:val="24"/>
          <w:lang w:val="en-US" w:eastAsia="ru-RU"/>
        </w:rPr>
        <w:t>Musso</w:t>
      </w:r>
      <w:proofErr w:type="spellEnd"/>
      <w:r w:rsidRPr="00A34E01">
        <w:rPr>
          <w:rFonts w:ascii="Arial" w:eastAsia="Times New Roman" w:hAnsi="Arial" w:cs="Arial"/>
          <w:iCs/>
          <w:color w:val="000000" w:themeColor="text1"/>
          <w:sz w:val="24"/>
          <w:szCs w:val="24"/>
          <w:lang w:val="en-US" w:eastAsia="ru-RU"/>
        </w:rPr>
        <w:t xml:space="preserve"> D., </w:t>
      </w:r>
      <w:proofErr w:type="spellStart"/>
      <w:r w:rsidRPr="00A34E01">
        <w:rPr>
          <w:rFonts w:ascii="Arial" w:eastAsia="Times New Roman" w:hAnsi="Arial" w:cs="Arial"/>
          <w:iCs/>
          <w:color w:val="000000" w:themeColor="text1"/>
          <w:sz w:val="24"/>
          <w:szCs w:val="24"/>
          <w:lang w:val="en-US" w:eastAsia="ru-RU"/>
        </w:rPr>
        <w:t>Ko</w:t>
      </w:r>
      <w:proofErr w:type="spellEnd"/>
      <w:r w:rsidRPr="00A34E01">
        <w:rPr>
          <w:rFonts w:ascii="Arial" w:eastAsia="Times New Roman" w:hAnsi="Arial" w:cs="Arial"/>
          <w:iCs/>
          <w:color w:val="000000" w:themeColor="text1"/>
          <w:sz w:val="24"/>
          <w:szCs w:val="24"/>
          <w:lang w:val="en-US" w:eastAsia="ru-RU"/>
        </w:rPr>
        <w:t xml:space="preserve"> A.I., Baud D.</w:t>
      </w:r>
      <w:r w:rsidRPr="00A34E01">
        <w:rPr>
          <w:rFonts w:ascii="Arial" w:eastAsia="Times New Roman" w:hAnsi="Arial" w:cs="Arial"/>
          <w:color w:val="000000" w:themeColor="text1"/>
          <w:sz w:val="24"/>
          <w:szCs w:val="24"/>
          <w:shd w:val="clear" w:color="auto" w:fill="FFFFFF"/>
          <w:lang w:val="en-US" w:eastAsia="ru-RU"/>
        </w:rPr>
        <w:t xml:space="preserve"> </w:t>
      </w:r>
      <w:proofErr w:type="spellStart"/>
      <w:r w:rsidRPr="00A34E01">
        <w:rPr>
          <w:rFonts w:ascii="Arial" w:eastAsia="Times New Roman" w:hAnsi="Arial" w:cs="Arial"/>
          <w:color w:val="000000" w:themeColor="text1"/>
          <w:sz w:val="24"/>
          <w:szCs w:val="24"/>
          <w:shd w:val="clear" w:color="auto" w:fill="FFFFFF"/>
          <w:lang w:val="en-US" w:eastAsia="ru-RU"/>
        </w:rPr>
        <w:t>Zika</w:t>
      </w:r>
      <w:proofErr w:type="spellEnd"/>
      <w:r w:rsidRPr="00A34E01">
        <w:rPr>
          <w:rFonts w:ascii="Arial" w:eastAsia="Times New Roman" w:hAnsi="Arial" w:cs="Arial"/>
          <w:color w:val="000000" w:themeColor="text1"/>
          <w:sz w:val="24"/>
          <w:szCs w:val="24"/>
          <w:shd w:val="clear" w:color="auto" w:fill="FFFFFF"/>
          <w:lang w:val="en-US" w:eastAsia="ru-RU"/>
        </w:rPr>
        <w:t xml:space="preserve"> Virus Infection - After the Pandemic. </w:t>
      </w:r>
      <w:r w:rsidR="00A34E01" w:rsidRPr="00A34E01">
        <w:rPr>
          <w:rFonts w:ascii="Arial" w:eastAsia="Times New Roman" w:hAnsi="Arial" w:cs="Arial"/>
          <w:iCs/>
          <w:color w:val="000000" w:themeColor="text1"/>
          <w:sz w:val="24"/>
          <w:szCs w:val="24"/>
          <w:lang w:val="en-US" w:eastAsia="ru-RU"/>
        </w:rPr>
        <w:t xml:space="preserve">N </w:t>
      </w:r>
      <w:proofErr w:type="spellStart"/>
      <w:r w:rsidR="00A34E01" w:rsidRPr="00A34E01">
        <w:rPr>
          <w:rFonts w:ascii="Arial" w:eastAsia="Times New Roman" w:hAnsi="Arial" w:cs="Arial"/>
          <w:iCs/>
          <w:color w:val="000000" w:themeColor="text1"/>
          <w:sz w:val="24"/>
          <w:szCs w:val="24"/>
          <w:lang w:val="en-US" w:eastAsia="ru-RU"/>
        </w:rPr>
        <w:t>Engl</w:t>
      </w:r>
      <w:proofErr w:type="spellEnd"/>
      <w:r w:rsidR="00A34E01" w:rsidRPr="00A34E01">
        <w:rPr>
          <w:rFonts w:ascii="Arial" w:eastAsia="Times New Roman" w:hAnsi="Arial" w:cs="Arial"/>
          <w:iCs/>
          <w:color w:val="000000" w:themeColor="text1"/>
          <w:sz w:val="24"/>
          <w:szCs w:val="24"/>
          <w:lang w:val="en-US" w:eastAsia="ru-RU"/>
        </w:rPr>
        <w:t xml:space="preserve"> J Med 2019;</w:t>
      </w:r>
      <w:r w:rsidRPr="00A34E01">
        <w:rPr>
          <w:rFonts w:ascii="Arial" w:eastAsia="Times New Roman" w:hAnsi="Arial" w:cs="Arial"/>
          <w:iCs/>
          <w:color w:val="000000" w:themeColor="text1"/>
          <w:sz w:val="24"/>
          <w:szCs w:val="24"/>
          <w:lang w:val="en-US" w:eastAsia="ru-RU"/>
        </w:rPr>
        <w:t>381(15):1444-1457.</w:t>
      </w:r>
      <w:r w:rsidRPr="00A34E01">
        <w:rPr>
          <w:rFonts w:ascii="Arial" w:hAnsi="Arial" w:cs="Arial"/>
          <w:color w:val="000000" w:themeColor="text1"/>
          <w:sz w:val="24"/>
          <w:szCs w:val="24"/>
          <w:shd w:val="clear" w:color="auto" w:fill="FFFFFF"/>
          <w:lang w:val="en-US"/>
        </w:rPr>
        <w:t xml:space="preserve"> DOI: 10.1056/NEJMra1808246.</w:t>
      </w:r>
    </w:p>
    <w:p w:rsidR="00081E96" w:rsidRPr="00A34E01" w:rsidRDefault="00081E96" w:rsidP="00A34E01">
      <w:pPr>
        <w:pStyle w:val="a7"/>
        <w:numPr>
          <w:ilvl w:val="0"/>
          <w:numId w:val="2"/>
        </w:numPr>
        <w:shd w:val="clear" w:color="auto" w:fill="FFFFFF"/>
        <w:spacing w:after="0" w:line="360" w:lineRule="auto"/>
        <w:ind w:left="0" w:firstLine="0"/>
        <w:jc w:val="both"/>
        <w:rPr>
          <w:rFonts w:ascii="Arial" w:eastAsia="Times New Roman" w:hAnsi="Arial" w:cs="Arial"/>
          <w:color w:val="000000" w:themeColor="text1"/>
          <w:sz w:val="24"/>
          <w:szCs w:val="24"/>
          <w:lang w:val="en-US" w:eastAsia="ru-RU"/>
        </w:rPr>
      </w:pPr>
      <w:proofErr w:type="spellStart"/>
      <w:r w:rsidRPr="00A34E01">
        <w:rPr>
          <w:rFonts w:ascii="Arial" w:eastAsia="Times New Roman" w:hAnsi="Arial" w:cs="Arial"/>
          <w:color w:val="000000" w:themeColor="text1"/>
          <w:sz w:val="24"/>
          <w:szCs w:val="24"/>
          <w:lang w:val="en-US" w:eastAsia="ru-RU"/>
        </w:rPr>
        <w:t>Semenenko</w:t>
      </w:r>
      <w:proofErr w:type="spellEnd"/>
      <w:r w:rsidRPr="00A34E01">
        <w:rPr>
          <w:rFonts w:ascii="Arial" w:eastAsia="Times New Roman" w:hAnsi="Arial" w:cs="Arial"/>
          <w:color w:val="000000" w:themeColor="text1"/>
          <w:sz w:val="24"/>
          <w:szCs w:val="24"/>
          <w:lang w:val="en-US" w:eastAsia="ru-RU"/>
        </w:rPr>
        <w:t xml:space="preserve"> T.A., </w:t>
      </w:r>
      <w:proofErr w:type="spellStart"/>
      <w:r w:rsidRPr="00A34E01">
        <w:rPr>
          <w:rFonts w:ascii="Arial" w:eastAsia="Times New Roman" w:hAnsi="Arial" w:cs="Arial"/>
          <w:color w:val="000000" w:themeColor="text1"/>
          <w:sz w:val="24"/>
          <w:szCs w:val="24"/>
          <w:lang w:val="en-US" w:eastAsia="ru-RU"/>
        </w:rPr>
        <w:t>Selkova</w:t>
      </w:r>
      <w:proofErr w:type="spellEnd"/>
      <w:r w:rsidRPr="00A34E01">
        <w:rPr>
          <w:rFonts w:ascii="Arial" w:eastAsia="Times New Roman" w:hAnsi="Arial" w:cs="Arial"/>
          <w:color w:val="000000" w:themeColor="text1"/>
          <w:sz w:val="24"/>
          <w:szCs w:val="24"/>
          <w:lang w:val="en-US" w:eastAsia="ru-RU"/>
        </w:rPr>
        <w:t xml:space="preserve"> E.P., Nikitina G.Y., </w:t>
      </w:r>
      <w:proofErr w:type="spellStart"/>
      <w:r w:rsidRPr="00A34E01">
        <w:rPr>
          <w:rFonts w:ascii="Arial" w:eastAsia="Times New Roman" w:hAnsi="Arial" w:cs="Arial"/>
          <w:color w:val="000000" w:themeColor="text1"/>
          <w:sz w:val="24"/>
          <w:szCs w:val="24"/>
          <w:lang w:val="en-US" w:eastAsia="ru-RU"/>
        </w:rPr>
        <w:t>Gotvyanskaya</w:t>
      </w:r>
      <w:proofErr w:type="spellEnd"/>
      <w:r w:rsidRPr="00A34E01">
        <w:rPr>
          <w:rFonts w:ascii="Arial" w:eastAsia="Times New Roman" w:hAnsi="Arial" w:cs="Arial"/>
          <w:color w:val="000000" w:themeColor="text1"/>
          <w:sz w:val="24"/>
          <w:szCs w:val="24"/>
          <w:lang w:val="en-US" w:eastAsia="ru-RU"/>
        </w:rPr>
        <w:t xml:space="preserve"> T.P., </w:t>
      </w:r>
      <w:proofErr w:type="spellStart"/>
      <w:r w:rsidRPr="00A34E01">
        <w:rPr>
          <w:rFonts w:ascii="Arial" w:eastAsia="Times New Roman" w:hAnsi="Arial" w:cs="Arial"/>
          <w:color w:val="000000" w:themeColor="text1"/>
          <w:sz w:val="24"/>
          <w:szCs w:val="24"/>
          <w:lang w:val="en-US" w:eastAsia="ru-RU"/>
        </w:rPr>
        <w:t>Yudina</w:t>
      </w:r>
      <w:proofErr w:type="spellEnd"/>
      <w:r w:rsidRPr="00A34E01">
        <w:rPr>
          <w:rFonts w:ascii="Arial" w:eastAsia="Times New Roman" w:hAnsi="Arial" w:cs="Arial"/>
          <w:color w:val="000000" w:themeColor="text1"/>
          <w:sz w:val="24"/>
          <w:szCs w:val="24"/>
          <w:lang w:val="en-US" w:eastAsia="ru-RU"/>
        </w:rPr>
        <w:t xml:space="preserve"> T.I., </w:t>
      </w:r>
      <w:proofErr w:type="spellStart"/>
      <w:r w:rsidRPr="00A34E01">
        <w:rPr>
          <w:rFonts w:ascii="Arial" w:eastAsia="Times New Roman" w:hAnsi="Arial" w:cs="Arial"/>
          <w:color w:val="000000" w:themeColor="text1"/>
          <w:sz w:val="24"/>
          <w:szCs w:val="24"/>
          <w:lang w:val="en-US" w:eastAsia="ru-RU"/>
        </w:rPr>
        <w:t>Amaryan</w:t>
      </w:r>
      <w:proofErr w:type="spellEnd"/>
      <w:r w:rsidRPr="00A34E01">
        <w:rPr>
          <w:rFonts w:ascii="Arial" w:eastAsia="Times New Roman" w:hAnsi="Arial" w:cs="Arial"/>
          <w:color w:val="000000" w:themeColor="text1"/>
          <w:sz w:val="24"/>
          <w:szCs w:val="24"/>
          <w:lang w:val="en-US" w:eastAsia="ru-RU"/>
        </w:rPr>
        <w:t xml:space="preserve"> M.P., </w:t>
      </w:r>
      <w:proofErr w:type="spellStart"/>
      <w:r w:rsidRPr="00A34E01">
        <w:rPr>
          <w:rFonts w:ascii="Arial" w:eastAsia="Times New Roman" w:hAnsi="Arial" w:cs="Arial"/>
          <w:color w:val="000000" w:themeColor="text1"/>
          <w:sz w:val="24"/>
          <w:szCs w:val="24"/>
          <w:lang w:val="en-US" w:eastAsia="ru-RU"/>
        </w:rPr>
        <w:t>Nosik</w:t>
      </w:r>
      <w:proofErr w:type="spellEnd"/>
      <w:r w:rsidRPr="00A34E01">
        <w:rPr>
          <w:rFonts w:ascii="Arial" w:eastAsia="Times New Roman" w:hAnsi="Arial" w:cs="Arial"/>
          <w:color w:val="000000" w:themeColor="text1"/>
          <w:sz w:val="24"/>
          <w:szCs w:val="24"/>
          <w:lang w:val="en-US" w:eastAsia="ru-RU"/>
        </w:rPr>
        <w:t xml:space="preserve"> N.N., </w:t>
      </w:r>
      <w:proofErr w:type="spellStart"/>
      <w:r w:rsidRPr="00A34E01">
        <w:rPr>
          <w:rFonts w:ascii="Arial" w:eastAsia="Times New Roman" w:hAnsi="Arial" w:cs="Arial"/>
          <w:color w:val="000000" w:themeColor="text1"/>
          <w:sz w:val="24"/>
          <w:szCs w:val="24"/>
          <w:lang w:val="en-US" w:eastAsia="ru-RU"/>
        </w:rPr>
        <w:t>Turyanov</w:t>
      </w:r>
      <w:proofErr w:type="spellEnd"/>
      <w:r w:rsidRPr="00A34E01">
        <w:rPr>
          <w:rFonts w:ascii="Arial" w:eastAsia="Times New Roman" w:hAnsi="Arial" w:cs="Arial"/>
          <w:color w:val="000000" w:themeColor="text1"/>
          <w:sz w:val="24"/>
          <w:szCs w:val="24"/>
          <w:lang w:val="en-US" w:eastAsia="ru-RU"/>
        </w:rPr>
        <w:t xml:space="preserve"> M.H. </w:t>
      </w:r>
      <w:proofErr w:type="spellStart"/>
      <w:r w:rsidRPr="00A34E01">
        <w:rPr>
          <w:rFonts w:ascii="Arial" w:eastAsia="Times New Roman" w:hAnsi="Arial" w:cs="Arial"/>
          <w:color w:val="000000" w:themeColor="text1"/>
          <w:sz w:val="24"/>
          <w:szCs w:val="24"/>
          <w:lang w:val="en-US" w:eastAsia="ru-RU"/>
        </w:rPr>
        <w:t>Immunomodulators</w:t>
      </w:r>
      <w:proofErr w:type="spellEnd"/>
      <w:r w:rsidRPr="00A34E01">
        <w:rPr>
          <w:rFonts w:ascii="Arial" w:eastAsia="Times New Roman" w:hAnsi="Arial" w:cs="Arial"/>
          <w:color w:val="000000" w:themeColor="text1"/>
          <w:sz w:val="24"/>
          <w:szCs w:val="24"/>
          <w:lang w:val="en-US" w:eastAsia="ru-RU"/>
        </w:rPr>
        <w:t xml:space="preserve"> in the prevention of acute respiratory viral infections. Russ J </w:t>
      </w:r>
      <w:proofErr w:type="spellStart"/>
      <w:r w:rsidRPr="00A34E01">
        <w:rPr>
          <w:rFonts w:ascii="Arial" w:eastAsia="Times New Roman" w:hAnsi="Arial" w:cs="Arial"/>
          <w:color w:val="000000" w:themeColor="text1"/>
          <w:sz w:val="24"/>
          <w:szCs w:val="24"/>
          <w:lang w:val="en-US" w:eastAsia="ru-RU"/>
        </w:rPr>
        <w:t>Immunol</w:t>
      </w:r>
      <w:proofErr w:type="spellEnd"/>
      <w:r w:rsidRPr="00A34E01">
        <w:rPr>
          <w:rFonts w:ascii="Arial" w:eastAsia="Times New Roman" w:hAnsi="Arial" w:cs="Arial"/>
          <w:color w:val="000000" w:themeColor="text1"/>
          <w:sz w:val="24"/>
          <w:szCs w:val="24"/>
          <w:lang w:val="en-US" w:eastAsia="ru-RU"/>
        </w:rPr>
        <w:t> 2002;7(2):105–114. </w:t>
      </w:r>
    </w:p>
    <w:p w:rsidR="00081E96" w:rsidRPr="00A34E01" w:rsidRDefault="00081E96" w:rsidP="00A34E01">
      <w:pPr>
        <w:pStyle w:val="a7"/>
        <w:numPr>
          <w:ilvl w:val="0"/>
          <w:numId w:val="2"/>
        </w:numPr>
        <w:shd w:val="clear" w:color="auto" w:fill="FFFFFF"/>
        <w:spacing w:after="0" w:line="360" w:lineRule="auto"/>
        <w:ind w:left="0" w:firstLine="0"/>
        <w:jc w:val="both"/>
        <w:rPr>
          <w:rFonts w:ascii="Arial" w:hAnsi="Arial" w:cs="Arial"/>
          <w:color w:val="000000" w:themeColor="text1"/>
          <w:sz w:val="24"/>
          <w:szCs w:val="24"/>
          <w:shd w:val="clear" w:color="auto" w:fill="FFFFFF"/>
          <w:lang w:val="en-US"/>
        </w:rPr>
      </w:pPr>
      <w:r w:rsidRPr="00A34E01">
        <w:rPr>
          <w:rFonts w:ascii="Arial" w:hAnsi="Arial" w:cs="Arial"/>
          <w:color w:val="000000" w:themeColor="text1"/>
          <w:sz w:val="24"/>
          <w:szCs w:val="24"/>
          <w:shd w:val="clear" w:color="auto" w:fill="FFFFFF"/>
          <w:lang w:val="en-US"/>
        </w:rPr>
        <w:t xml:space="preserve">Shen L., </w:t>
      </w:r>
      <w:proofErr w:type="spellStart"/>
      <w:r w:rsidRPr="00A34E01">
        <w:rPr>
          <w:rFonts w:ascii="Arial" w:hAnsi="Arial" w:cs="Arial"/>
          <w:color w:val="000000" w:themeColor="text1"/>
          <w:sz w:val="24"/>
          <w:szCs w:val="24"/>
          <w:shd w:val="clear" w:color="auto" w:fill="FFFFFF"/>
          <w:lang w:val="en-US"/>
        </w:rPr>
        <w:t>Niu</w:t>
      </w:r>
      <w:proofErr w:type="spellEnd"/>
      <w:r w:rsidRPr="00A34E01">
        <w:rPr>
          <w:rFonts w:ascii="Arial" w:hAnsi="Arial" w:cs="Arial"/>
          <w:color w:val="000000" w:themeColor="text1"/>
          <w:sz w:val="24"/>
          <w:szCs w:val="24"/>
          <w:shd w:val="clear" w:color="auto" w:fill="FFFFFF"/>
          <w:lang w:val="en-US"/>
        </w:rPr>
        <w:t xml:space="preserve"> J., Wang C., Huang B., Wang W., Zhu N., Deng Y., Wang H., Ye F., Cen S., Tan W. High-Throughput Screening and Identification of Potent Broad-Spectrum Inhib</w:t>
      </w:r>
      <w:r w:rsidR="00A34E01" w:rsidRPr="00A34E01">
        <w:rPr>
          <w:rFonts w:ascii="Arial" w:hAnsi="Arial" w:cs="Arial"/>
          <w:color w:val="000000" w:themeColor="text1"/>
          <w:sz w:val="24"/>
          <w:szCs w:val="24"/>
          <w:shd w:val="clear" w:color="auto" w:fill="FFFFFF"/>
          <w:lang w:val="en-US"/>
        </w:rPr>
        <w:t xml:space="preserve">itors of Coronaviruses. J </w:t>
      </w:r>
      <w:proofErr w:type="spellStart"/>
      <w:r w:rsidR="00A34E01" w:rsidRPr="00A34E01">
        <w:rPr>
          <w:rFonts w:ascii="Arial" w:hAnsi="Arial" w:cs="Arial"/>
          <w:color w:val="000000" w:themeColor="text1"/>
          <w:sz w:val="24"/>
          <w:szCs w:val="24"/>
          <w:shd w:val="clear" w:color="auto" w:fill="FFFFFF"/>
          <w:lang w:val="en-US"/>
        </w:rPr>
        <w:t>Virol</w:t>
      </w:r>
      <w:proofErr w:type="spellEnd"/>
      <w:r w:rsidRPr="00A34E01">
        <w:rPr>
          <w:rFonts w:ascii="Arial" w:hAnsi="Arial" w:cs="Arial"/>
          <w:color w:val="000000" w:themeColor="text1"/>
          <w:sz w:val="24"/>
          <w:szCs w:val="24"/>
          <w:shd w:val="clear" w:color="auto" w:fill="FFFFFF"/>
          <w:lang w:val="en-US"/>
        </w:rPr>
        <w:t xml:space="preserve"> 2019;93(12):</w:t>
      </w:r>
      <w:r w:rsidRPr="00A34E01">
        <w:rPr>
          <w:rFonts w:ascii="Arial" w:hAnsi="Arial" w:cs="Arial"/>
          <w:color w:val="000000" w:themeColor="text1"/>
          <w:sz w:val="24"/>
          <w:szCs w:val="24"/>
          <w:lang w:val="en-US"/>
        </w:rPr>
        <w:t xml:space="preserve"> </w:t>
      </w:r>
      <w:r w:rsidRPr="00A34E01">
        <w:rPr>
          <w:rFonts w:ascii="Arial" w:hAnsi="Arial" w:cs="Arial"/>
          <w:color w:val="000000" w:themeColor="text1"/>
          <w:sz w:val="24"/>
          <w:szCs w:val="24"/>
          <w:shd w:val="clear" w:color="auto" w:fill="FFFFFF"/>
          <w:lang w:val="en-US"/>
        </w:rPr>
        <w:t>e00023-19. DOI: 10.1128/JVI.00023-19.</w:t>
      </w:r>
    </w:p>
    <w:p w:rsidR="00081E96" w:rsidRPr="00A34E01" w:rsidRDefault="00081E96" w:rsidP="00A34E01">
      <w:pPr>
        <w:pStyle w:val="a7"/>
        <w:numPr>
          <w:ilvl w:val="0"/>
          <w:numId w:val="2"/>
        </w:numPr>
        <w:spacing w:after="0" w:line="360" w:lineRule="auto"/>
        <w:ind w:left="0" w:firstLine="0"/>
        <w:jc w:val="both"/>
        <w:rPr>
          <w:rFonts w:ascii="Arial" w:hAnsi="Arial" w:cs="Arial"/>
          <w:color w:val="000000" w:themeColor="text1"/>
          <w:sz w:val="24"/>
          <w:szCs w:val="24"/>
          <w:lang w:val="en-US"/>
        </w:rPr>
      </w:pPr>
      <w:proofErr w:type="spellStart"/>
      <w:r w:rsidRPr="00A34E01">
        <w:rPr>
          <w:rFonts w:ascii="Arial" w:hAnsi="Arial" w:cs="Arial"/>
          <w:color w:val="000000" w:themeColor="text1"/>
          <w:sz w:val="24"/>
          <w:szCs w:val="24"/>
          <w:lang w:val="en-US"/>
        </w:rPr>
        <w:t>Stringfellow</w:t>
      </w:r>
      <w:proofErr w:type="spellEnd"/>
      <w:r w:rsidRPr="00A34E01">
        <w:rPr>
          <w:rFonts w:ascii="Arial" w:hAnsi="Arial" w:cs="Arial"/>
          <w:color w:val="000000" w:themeColor="text1"/>
          <w:sz w:val="24"/>
          <w:szCs w:val="24"/>
          <w:lang w:val="en-US"/>
        </w:rPr>
        <w:t xml:space="preserve"> D.A., Glasgow L.A. </w:t>
      </w:r>
      <w:proofErr w:type="spellStart"/>
      <w:r w:rsidRPr="00A34E01">
        <w:rPr>
          <w:rFonts w:ascii="Arial" w:hAnsi="Arial" w:cs="Arial"/>
          <w:color w:val="000000" w:themeColor="text1"/>
          <w:sz w:val="24"/>
          <w:szCs w:val="24"/>
          <w:lang w:val="en-US"/>
        </w:rPr>
        <w:t>Tilorone</w:t>
      </w:r>
      <w:proofErr w:type="spellEnd"/>
      <w:r w:rsidRPr="00A34E01">
        <w:rPr>
          <w:rFonts w:ascii="Arial" w:hAnsi="Arial" w:cs="Arial"/>
          <w:color w:val="000000" w:themeColor="text1"/>
          <w:sz w:val="24"/>
          <w:szCs w:val="24"/>
          <w:lang w:val="en-US"/>
        </w:rPr>
        <w:t xml:space="preserve"> hydrochloride: an oral interferon-inducing agent. Antimicrobi</w:t>
      </w:r>
      <w:r w:rsidR="00A34E01" w:rsidRPr="00A34E01">
        <w:rPr>
          <w:rFonts w:ascii="Arial" w:hAnsi="Arial" w:cs="Arial"/>
          <w:color w:val="000000" w:themeColor="text1"/>
          <w:sz w:val="24"/>
          <w:szCs w:val="24"/>
          <w:lang w:val="en-US"/>
        </w:rPr>
        <w:t>al Agents and Chemotherapy 1972</w:t>
      </w:r>
      <w:r w:rsidR="00A34E01" w:rsidRPr="00A34E01">
        <w:rPr>
          <w:rFonts w:ascii="Arial" w:hAnsi="Arial" w:cs="Arial"/>
          <w:color w:val="000000" w:themeColor="text1"/>
          <w:sz w:val="24"/>
          <w:szCs w:val="24"/>
        </w:rPr>
        <w:t>;</w:t>
      </w:r>
      <w:r w:rsidRPr="00A34E01">
        <w:rPr>
          <w:rFonts w:ascii="Arial" w:hAnsi="Arial" w:cs="Arial"/>
          <w:color w:val="000000" w:themeColor="text1"/>
          <w:sz w:val="24"/>
          <w:szCs w:val="24"/>
          <w:lang w:val="en-US"/>
        </w:rPr>
        <w:t>(2): 73-78.</w:t>
      </w:r>
    </w:p>
    <w:p w:rsidR="00884538" w:rsidRPr="00A34E01" w:rsidRDefault="00884538" w:rsidP="00A34E01">
      <w:pPr>
        <w:pStyle w:val="a7"/>
        <w:numPr>
          <w:ilvl w:val="0"/>
          <w:numId w:val="2"/>
        </w:numPr>
        <w:spacing w:after="0" w:line="360" w:lineRule="auto"/>
        <w:ind w:left="0" w:firstLine="0"/>
        <w:jc w:val="both"/>
        <w:rPr>
          <w:rFonts w:ascii="Arial" w:hAnsi="Arial" w:cs="Arial"/>
          <w:color w:val="000000" w:themeColor="text1"/>
          <w:sz w:val="24"/>
          <w:szCs w:val="24"/>
          <w:shd w:val="clear" w:color="auto" w:fill="FFFFFF"/>
          <w:lang w:val="en-US"/>
        </w:rPr>
      </w:pPr>
      <w:proofErr w:type="spellStart"/>
      <w:r w:rsidRPr="00A34E01">
        <w:rPr>
          <w:rFonts w:ascii="Arial" w:hAnsi="Arial" w:cs="Arial"/>
          <w:color w:val="000000" w:themeColor="text1"/>
          <w:sz w:val="24"/>
          <w:szCs w:val="24"/>
          <w:shd w:val="clear" w:color="auto" w:fill="FFFFFF"/>
          <w:lang w:val="en-US"/>
        </w:rPr>
        <w:t>Vargin</w:t>
      </w:r>
      <w:proofErr w:type="spellEnd"/>
      <w:r w:rsidRPr="00A34E01">
        <w:rPr>
          <w:rFonts w:ascii="Arial" w:hAnsi="Arial" w:cs="Arial"/>
          <w:color w:val="000000" w:themeColor="text1"/>
          <w:sz w:val="24"/>
          <w:szCs w:val="24"/>
          <w:shd w:val="clear" w:color="auto" w:fill="FFFFFF"/>
          <w:lang w:val="en-US"/>
        </w:rPr>
        <w:t xml:space="preserve"> V.V., </w:t>
      </w:r>
      <w:proofErr w:type="spellStart"/>
      <w:r w:rsidRPr="00A34E01">
        <w:rPr>
          <w:rFonts w:ascii="Arial" w:hAnsi="Arial" w:cs="Arial"/>
          <w:color w:val="000000" w:themeColor="text1"/>
          <w:sz w:val="24"/>
          <w:szCs w:val="24"/>
          <w:shd w:val="clear" w:color="auto" w:fill="FFFFFF"/>
          <w:lang w:val="en-US"/>
        </w:rPr>
        <w:t>Zschiesche</w:t>
      </w:r>
      <w:proofErr w:type="spellEnd"/>
      <w:r w:rsidRPr="00A34E01">
        <w:rPr>
          <w:rFonts w:ascii="Arial" w:hAnsi="Arial" w:cs="Arial"/>
          <w:color w:val="000000" w:themeColor="text1"/>
          <w:sz w:val="24"/>
          <w:szCs w:val="24"/>
          <w:shd w:val="clear" w:color="auto" w:fill="FFFFFF"/>
          <w:lang w:val="en-US"/>
        </w:rPr>
        <w:t xml:space="preserve"> W., Semenov B.F. Effects of </w:t>
      </w:r>
      <w:proofErr w:type="spellStart"/>
      <w:r w:rsidRPr="00A34E01">
        <w:rPr>
          <w:rFonts w:ascii="Arial" w:hAnsi="Arial" w:cs="Arial"/>
          <w:color w:val="000000" w:themeColor="text1"/>
          <w:sz w:val="24"/>
          <w:szCs w:val="24"/>
          <w:shd w:val="clear" w:color="auto" w:fill="FFFFFF"/>
          <w:lang w:val="en-US"/>
        </w:rPr>
        <w:t>tilorone</w:t>
      </w:r>
      <w:proofErr w:type="spellEnd"/>
      <w:r w:rsidRPr="00A34E01">
        <w:rPr>
          <w:rFonts w:ascii="Arial" w:hAnsi="Arial" w:cs="Arial"/>
          <w:color w:val="000000" w:themeColor="text1"/>
          <w:sz w:val="24"/>
          <w:szCs w:val="24"/>
          <w:shd w:val="clear" w:color="auto" w:fill="FFFFFF"/>
          <w:lang w:val="en-US"/>
        </w:rPr>
        <w:t xml:space="preserve"> hydrochloride on experimental </w:t>
      </w:r>
      <w:proofErr w:type="spellStart"/>
      <w:r w:rsidRPr="00A34E01">
        <w:rPr>
          <w:rFonts w:ascii="Arial" w:hAnsi="Arial" w:cs="Arial"/>
          <w:color w:val="000000" w:themeColor="text1"/>
          <w:sz w:val="24"/>
          <w:szCs w:val="24"/>
          <w:shd w:val="clear" w:color="auto" w:fill="FFFFFF"/>
          <w:lang w:val="en-US"/>
        </w:rPr>
        <w:t>flavivirus</w:t>
      </w:r>
      <w:proofErr w:type="spellEnd"/>
      <w:r w:rsidRPr="00A34E01">
        <w:rPr>
          <w:rFonts w:ascii="Arial" w:hAnsi="Arial" w:cs="Arial"/>
          <w:color w:val="000000" w:themeColor="text1"/>
          <w:sz w:val="24"/>
          <w:szCs w:val="24"/>
          <w:shd w:val="clear" w:color="auto" w:fill="FFFFFF"/>
          <w:lang w:val="en-US"/>
        </w:rPr>
        <w:t xml:space="preserve"> infections in mice. </w:t>
      </w:r>
      <w:proofErr w:type="spellStart"/>
      <w:r w:rsidRPr="00A34E01">
        <w:rPr>
          <w:rStyle w:val="ref-journal"/>
          <w:rFonts w:ascii="Arial" w:hAnsi="Arial" w:cs="Arial"/>
          <w:color w:val="000000" w:themeColor="text1"/>
          <w:sz w:val="24"/>
          <w:szCs w:val="24"/>
          <w:shd w:val="clear" w:color="auto" w:fill="FFFFFF"/>
          <w:lang w:val="en-US"/>
        </w:rPr>
        <w:t>Acta</w:t>
      </w:r>
      <w:proofErr w:type="spellEnd"/>
      <w:r w:rsidR="00A34E01" w:rsidRPr="00A34E01">
        <w:rPr>
          <w:rStyle w:val="ref-journal"/>
          <w:rFonts w:ascii="Arial" w:hAnsi="Arial" w:cs="Arial"/>
          <w:color w:val="000000" w:themeColor="text1"/>
          <w:sz w:val="24"/>
          <w:szCs w:val="24"/>
          <w:shd w:val="clear" w:color="auto" w:fill="FFFFFF"/>
          <w:lang w:val="en-US"/>
        </w:rPr>
        <w:t xml:space="preserve"> </w:t>
      </w:r>
      <w:proofErr w:type="spellStart"/>
      <w:r w:rsidR="00A34E01" w:rsidRPr="00A34E01">
        <w:rPr>
          <w:rStyle w:val="ref-journal"/>
          <w:rFonts w:ascii="Arial" w:hAnsi="Arial" w:cs="Arial"/>
          <w:color w:val="000000" w:themeColor="text1"/>
          <w:sz w:val="24"/>
          <w:szCs w:val="24"/>
          <w:shd w:val="clear" w:color="auto" w:fill="FFFFFF"/>
          <w:lang w:val="en-US"/>
        </w:rPr>
        <w:t>Virol</w:t>
      </w:r>
      <w:proofErr w:type="spellEnd"/>
      <w:r w:rsidRPr="00A34E01">
        <w:rPr>
          <w:rStyle w:val="ref-journal"/>
          <w:rFonts w:ascii="Arial" w:hAnsi="Arial" w:cs="Arial"/>
          <w:color w:val="000000" w:themeColor="text1"/>
          <w:sz w:val="24"/>
          <w:szCs w:val="24"/>
          <w:shd w:val="clear" w:color="auto" w:fill="FFFFFF"/>
          <w:lang w:val="en-US"/>
        </w:rPr>
        <w:t> </w:t>
      </w:r>
      <w:r w:rsidRPr="00A34E01">
        <w:rPr>
          <w:rFonts w:ascii="Arial" w:hAnsi="Arial" w:cs="Arial"/>
          <w:color w:val="000000" w:themeColor="text1"/>
          <w:sz w:val="24"/>
          <w:szCs w:val="24"/>
          <w:shd w:val="clear" w:color="auto" w:fill="FFFFFF"/>
          <w:lang w:val="en-US"/>
        </w:rPr>
        <w:t>1977;</w:t>
      </w:r>
      <w:r w:rsidRPr="00A34E01">
        <w:rPr>
          <w:rStyle w:val="ref-vol"/>
          <w:rFonts w:ascii="Arial" w:hAnsi="Arial" w:cs="Arial"/>
          <w:color w:val="000000" w:themeColor="text1"/>
          <w:sz w:val="24"/>
          <w:szCs w:val="24"/>
          <w:shd w:val="clear" w:color="auto" w:fill="FFFFFF"/>
          <w:lang w:val="en-US"/>
        </w:rPr>
        <w:t>21</w:t>
      </w:r>
      <w:r w:rsidRPr="00A34E01">
        <w:rPr>
          <w:rFonts w:ascii="Arial" w:hAnsi="Arial" w:cs="Arial"/>
          <w:color w:val="000000" w:themeColor="text1"/>
          <w:sz w:val="24"/>
          <w:szCs w:val="24"/>
          <w:shd w:val="clear" w:color="auto" w:fill="FFFFFF"/>
          <w:lang w:val="en-US"/>
        </w:rPr>
        <w:t>(2):114–118.</w:t>
      </w:r>
    </w:p>
    <w:p w:rsidR="00884538" w:rsidRPr="00A34E01" w:rsidRDefault="00884538" w:rsidP="00A34E01">
      <w:pPr>
        <w:pStyle w:val="a7"/>
        <w:numPr>
          <w:ilvl w:val="0"/>
          <w:numId w:val="2"/>
        </w:numPr>
        <w:shd w:val="clear" w:color="auto" w:fill="FFFFFF"/>
        <w:spacing w:after="0" w:line="360" w:lineRule="auto"/>
        <w:ind w:left="0" w:firstLine="0"/>
        <w:jc w:val="both"/>
        <w:rPr>
          <w:rFonts w:ascii="Arial" w:eastAsia="Times New Roman" w:hAnsi="Arial" w:cs="Arial"/>
          <w:color w:val="000000" w:themeColor="text1"/>
          <w:sz w:val="24"/>
          <w:szCs w:val="24"/>
          <w:lang w:eastAsia="ru-RU"/>
        </w:rPr>
      </w:pPr>
      <w:proofErr w:type="spellStart"/>
      <w:r w:rsidRPr="00A34E01">
        <w:rPr>
          <w:rFonts w:ascii="Arial" w:eastAsia="Times New Roman" w:hAnsi="Arial" w:cs="Arial"/>
          <w:color w:val="000000" w:themeColor="text1"/>
          <w:sz w:val="24"/>
          <w:szCs w:val="24"/>
          <w:lang w:val="en-US" w:eastAsia="ru-RU"/>
        </w:rPr>
        <w:t>Veckenstedt</w:t>
      </w:r>
      <w:proofErr w:type="spellEnd"/>
      <w:r w:rsidRPr="00A34E01">
        <w:rPr>
          <w:rFonts w:ascii="Arial" w:eastAsia="Times New Roman" w:hAnsi="Arial" w:cs="Arial"/>
          <w:color w:val="000000" w:themeColor="text1"/>
          <w:sz w:val="24"/>
          <w:szCs w:val="24"/>
          <w:lang w:val="en-US" w:eastAsia="ru-RU"/>
        </w:rPr>
        <w:t xml:space="preserve"> A., </w:t>
      </w:r>
      <w:proofErr w:type="spellStart"/>
      <w:r w:rsidRPr="00A34E01">
        <w:rPr>
          <w:rFonts w:ascii="Arial" w:eastAsia="Times New Roman" w:hAnsi="Arial" w:cs="Arial"/>
          <w:color w:val="000000" w:themeColor="text1"/>
          <w:sz w:val="24"/>
          <w:szCs w:val="24"/>
          <w:lang w:val="en-US" w:eastAsia="ru-RU"/>
        </w:rPr>
        <w:t>Witkowski</w:t>
      </w:r>
      <w:proofErr w:type="spellEnd"/>
      <w:r w:rsidRPr="00A34E01">
        <w:rPr>
          <w:rFonts w:ascii="Arial" w:eastAsia="Times New Roman" w:hAnsi="Arial" w:cs="Arial"/>
          <w:color w:val="000000" w:themeColor="text1"/>
          <w:sz w:val="24"/>
          <w:szCs w:val="24"/>
          <w:lang w:val="en-US" w:eastAsia="ru-RU"/>
        </w:rPr>
        <w:t xml:space="preserve"> W., Hoffmann S. Comparison of antiviral properties in mice of </w:t>
      </w:r>
      <w:proofErr w:type="spellStart"/>
      <w:r w:rsidRPr="00A34E01">
        <w:rPr>
          <w:rFonts w:ascii="Arial" w:eastAsia="Times New Roman" w:hAnsi="Arial" w:cs="Arial"/>
          <w:color w:val="000000" w:themeColor="text1"/>
          <w:sz w:val="24"/>
          <w:szCs w:val="24"/>
          <w:lang w:val="en-US" w:eastAsia="ru-RU"/>
        </w:rPr>
        <w:t>bispyrrolidinoacetamido-fluorenone</w:t>
      </w:r>
      <w:proofErr w:type="spellEnd"/>
      <w:r w:rsidRPr="00A34E01">
        <w:rPr>
          <w:rFonts w:ascii="Arial" w:eastAsia="Times New Roman" w:hAnsi="Arial" w:cs="Arial"/>
          <w:color w:val="000000" w:themeColor="text1"/>
          <w:sz w:val="24"/>
          <w:szCs w:val="24"/>
          <w:lang w:val="en-US" w:eastAsia="ru-RU"/>
        </w:rPr>
        <w:t xml:space="preserve"> (MLU-B75), </w:t>
      </w:r>
      <w:proofErr w:type="spellStart"/>
      <w:r w:rsidRPr="00A34E01">
        <w:rPr>
          <w:rFonts w:ascii="Arial" w:eastAsia="Times New Roman" w:hAnsi="Arial" w:cs="Arial"/>
          <w:color w:val="000000" w:themeColor="text1"/>
          <w:sz w:val="24"/>
          <w:szCs w:val="24"/>
          <w:lang w:val="en-US" w:eastAsia="ru-RU"/>
        </w:rPr>
        <w:t>bis-dipropylaminoacetamido-fluorenone</w:t>
      </w:r>
      <w:proofErr w:type="spellEnd"/>
      <w:r w:rsidRPr="00A34E01">
        <w:rPr>
          <w:rFonts w:ascii="Arial" w:eastAsia="Times New Roman" w:hAnsi="Arial" w:cs="Arial"/>
          <w:color w:val="000000" w:themeColor="text1"/>
          <w:sz w:val="24"/>
          <w:szCs w:val="24"/>
          <w:lang w:val="en-US" w:eastAsia="ru-RU"/>
        </w:rPr>
        <w:t xml:space="preserve"> (MLU-B76), and </w:t>
      </w:r>
      <w:proofErr w:type="spellStart"/>
      <w:r w:rsidRPr="00A34E01">
        <w:rPr>
          <w:rFonts w:ascii="Arial" w:eastAsia="Times New Roman" w:hAnsi="Arial" w:cs="Arial"/>
          <w:color w:val="000000" w:themeColor="text1"/>
          <w:sz w:val="24"/>
          <w:szCs w:val="24"/>
          <w:lang w:val="en-US" w:eastAsia="ru-RU"/>
        </w:rPr>
        <w:t>tilorone</w:t>
      </w:r>
      <w:proofErr w:type="spellEnd"/>
      <w:r w:rsidRPr="00A34E01">
        <w:rPr>
          <w:rFonts w:ascii="Arial" w:eastAsia="Times New Roman" w:hAnsi="Arial" w:cs="Arial"/>
          <w:color w:val="000000" w:themeColor="text1"/>
          <w:sz w:val="24"/>
          <w:szCs w:val="24"/>
          <w:lang w:val="en-US" w:eastAsia="ru-RU"/>
        </w:rPr>
        <w:t xml:space="preserve"> hydrochloride. </w:t>
      </w:r>
      <w:proofErr w:type="spellStart"/>
      <w:r w:rsidRPr="00A34E01">
        <w:rPr>
          <w:rFonts w:ascii="Arial" w:eastAsia="Times New Roman" w:hAnsi="Arial" w:cs="Arial"/>
          <w:color w:val="000000" w:themeColor="text1"/>
          <w:sz w:val="24"/>
          <w:szCs w:val="24"/>
          <w:lang w:val="en-US" w:eastAsia="ru-RU"/>
        </w:rPr>
        <w:t>Acta</w:t>
      </w:r>
      <w:proofErr w:type="spellEnd"/>
      <w:r w:rsidRPr="00A34E01">
        <w:rPr>
          <w:rFonts w:ascii="Arial" w:eastAsia="Times New Roman" w:hAnsi="Arial" w:cs="Arial"/>
          <w:color w:val="000000" w:themeColor="text1"/>
          <w:sz w:val="24"/>
          <w:szCs w:val="24"/>
          <w:lang w:eastAsia="ru-RU"/>
        </w:rPr>
        <w:t xml:space="preserve"> </w:t>
      </w:r>
      <w:proofErr w:type="spellStart"/>
      <w:r w:rsidRPr="00A34E01">
        <w:rPr>
          <w:rFonts w:ascii="Arial" w:eastAsia="Times New Roman" w:hAnsi="Arial" w:cs="Arial"/>
          <w:color w:val="000000" w:themeColor="text1"/>
          <w:sz w:val="24"/>
          <w:szCs w:val="24"/>
          <w:lang w:val="en-US" w:eastAsia="ru-RU"/>
        </w:rPr>
        <w:t>Virol</w:t>
      </w:r>
      <w:proofErr w:type="spellEnd"/>
      <w:r w:rsidRPr="00A34E01">
        <w:rPr>
          <w:rFonts w:ascii="Arial" w:eastAsia="Times New Roman" w:hAnsi="Arial" w:cs="Arial"/>
          <w:color w:val="000000" w:themeColor="text1"/>
          <w:sz w:val="24"/>
          <w:szCs w:val="24"/>
          <w:lang w:val="en-US" w:eastAsia="ru-RU"/>
        </w:rPr>
        <w:t> </w:t>
      </w:r>
      <w:r w:rsidRPr="00A34E01">
        <w:rPr>
          <w:rFonts w:ascii="Arial" w:eastAsia="Times New Roman" w:hAnsi="Arial" w:cs="Arial"/>
          <w:color w:val="000000" w:themeColor="text1"/>
          <w:sz w:val="24"/>
          <w:szCs w:val="24"/>
          <w:lang w:eastAsia="ru-RU"/>
        </w:rPr>
        <w:t>1979;23(2):153–158.</w:t>
      </w:r>
      <w:r w:rsidRPr="00A34E01">
        <w:rPr>
          <w:rFonts w:ascii="Arial" w:eastAsia="Times New Roman" w:hAnsi="Arial" w:cs="Arial"/>
          <w:color w:val="000000" w:themeColor="text1"/>
          <w:sz w:val="24"/>
          <w:szCs w:val="24"/>
          <w:lang w:val="en-US" w:eastAsia="ru-RU"/>
        </w:rPr>
        <w:t> </w:t>
      </w:r>
      <w:r w:rsidRPr="00A34E01">
        <w:rPr>
          <w:rFonts w:ascii="Arial" w:eastAsia="Times New Roman" w:hAnsi="Arial" w:cs="Arial"/>
          <w:color w:val="000000" w:themeColor="text1"/>
          <w:sz w:val="24"/>
          <w:szCs w:val="24"/>
          <w:lang w:eastAsia="ru-RU"/>
        </w:rPr>
        <w:t xml:space="preserve"> </w:t>
      </w:r>
    </w:p>
    <w:p w:rsidR="00930226" w:rsidRPr="00A34E01" w:rsidRDefault="00081E96" w:rsidP="00A34E01">
      <w:pPr>
        <w:pStyle w:val="a7"/>
        <w:numPr>
          <w:ilvl w:val="0"/>
          <w:numId w:val="2"/>
        </w:numPr>
        <w:spacing w:after="0" w:line="360" w:lineRule="auto"/>
        <w:ind w:left="0" w:firstLine="0"/>
        <w:jc w:val="both"/>
        <w:rPr>
          <w:rFonts w:ascii="Arial" w:eastAsia="Times New Roman" w:hAnsi="Arial" w:cs="Arial"/>
          <w:iCs/>
          <w:color w:val="000000" w:themeColor="text1"/>
          <w:sz w:val="24"/>
          <w:szCs w:val="24"/>
          <w:lang w:val="en-US" w:eastAsia="ru-RU"/>
        </w:rPr>
      </w:pPr>
      <w:r w:rsidRPr="00A34E01">
        <w:rPr>
          <w:rFonts w:ascii="Arial" w:eastAsia="Times New Roman" w:hAnsi="Arial" w:cs="Arial"/>
          <w:iCs/>
          <w:color w:val="000000" w:themeColor="text1"/>
          <w:sz w:val="24"/>
          <w:szCs w:val="24"/>
          <w:lang w:val="en-US" w:eastAsia="ru-RU"/>
        </w:rPr>
        <w:t xml:space="preserve">Wang M., Cao R., Zhang L., Yang X., Liu J., Xu M., Shi Z., Hu Z., </w:t>
      </w:r>
      <w:proofErr w:type="spellStart"/>
      <w:r w:rsidRPr="00A34E01">
        <w:rPr>
          <w:rFonts w:ascii="Arial" w:eastAsia="Times New Roman" w:hAnsi="Arial" w:cs="Arial"/>
          <w:iCs/>
          <w:color w:val="000000" w:themeColor="text1"/>
          <w:sz w:val="24"/>
          <w:szCs w:val="24"/>
          <w:lang w:val="en-US" w:eastAsia="ru-RU"/>
        </w:rPr>
        <w:t>Zhong</w:t>
      </w:r>
      <w:proofErr w:type="spellEnd"/>
      <w:r w:rsidRPr="00A34E01">
        <w:rPr>
          <w:rFonts w:ascii="Arial" w:eastAsia="Times New Roman" w:hAnsi="Arial" w:cs="Arial"/>
          <w:iCs/>
          <w:color w:val="000000" w:themeColor="text1"/>
          <w:sz w:val="24"/>
          <w:szCs w:val="24"/>
          <w:lang w:val="en-US" w:eastAsia="ru-RU"/>
        </w:rPr>
        <w:t xml:space="preserve"> W., Xiao G. </w:t>
      </w:r>
      <w:proofErr w:type="spellStart"/>
      <w:r w:rsidRPr="00A34E01">
        <w:rPr>
          <w:rFonts w:ascii="Arial" w:eastAsia="Times New Roman" w:hAnsi="Arial" w:cs="Arial"/>
          <w:color w:val="000000" w:themeColor="text1"/>
          <w:sz w:val="24"/>
          <w:szCs w:val="24"/>
          <w:shd w:val="clear" w:color="auto" w:fill="FFFFFF"/>
          <w:lang w:val="en-US" w:eastAsia="ru-RU"/>
        </w:rPr>
        <w:t>Remdesivir</w:t>
      </w:r>
      <w:proofErr w:type="spellEnd"/>
      <w:r w:rsidRPr="00A34E01">
        <w:rPr>
          <w:rFonts w:ascii="Arial" w:eastAsia="Times New Roman" w:hAnsi="Arial" w:cs="Arial"/>
          <w:color w:val="000000" w:themeColor="text1"/>
          <w:sz w:val="24"/>
          <w:szCs w:val="24"/>
          <w:shd w:val="clear" w:color="auto" w:fill="FFFFFF"/>
          <w:lang w:val="en-US" w:eastAsia="ru-RU"/>
        </w:rPr>
        <w:t xml:space="preserve"> and chloroquine effectively inhibit the recently emerged novel coronavirus (2019-nCoV) in vitro. </w:t>
      </w:r>
      <w:r w:rsidR="00A34E01" w:rsidRPr="00A34E01">
        <w:rPr>
          <w:rFonts w:ascii="Arial" w:eastAsia="Times New Roman" w:hAnsi="Arial" w:cs="Arial"/>
          <w:iCs/>
          <w:color w:val="000000" w:themeColor="text1"/>
          <w:sz w:val="24"/>
          <w:szCs w:val="24"/>
          <w:lang w:val="en-US" w:eastAsia="ru-RU"/>
        </w:rPr>
        <w:t>Cell Res 2020;</w:t>
      </w:r>
      <w:r w:rsidRPr="00A34E01">
        <w:rPr>
          <w:rFonts w:ascii="Arial" w:eastAsia="Times New Roman" w:hAnsi="Arial" w:cs="Arial"/>
          <w:iCs/>
          <w:color w:val="000000" w:themeColor="text1"/>
          <w:sz w:val="24"/>
          <w:szCs w:val="24"/>
          <w:lang w:val="en-US" w:eastAsia="ru-RU"/>
        </w:rPr>
        <w:t>30(3):269-271.</w:t>
      </w:r>
      <w:r w:rsidRPr="00A34E01">
        <w:rPr>
          <w:rFonts w:ascii="Arial" w:hAnsi="Arial" w:cs="Arial"/>
          <w:color w:val="000000" w:themeColor="text1"/>
          <w:sz w:val="24"/>
          <w:szCs w:val="24"/>
          <w:shd w:val="clear" w:color="auto" w:fill="FFFFFF"/>
          <w:lang w:val="en-US"/>
        </w:rPr>
        <w:t xml:space="preserve"> DOI: 1038/s41422-020-0282-0.</w:t>
      </w:r>
    </w:p>
    <w:sectPr w:rsidR="00930226" w:rsidRPr="00A34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46BC"/>
    <w:multiLevelType w:val="hybridMultilevel"/>
    <w:tmpl w:val="B8D08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2704C"/>
    <w:multiLevelType w:val="hybridMultilevel"/>
    <w:tmpl w:val="0652B40C"/>
    <w:lvl w:ilvl="0" w:tplc="54D26D5E">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38"/>
    <w:rsid w:val="00052103"/>
    <w:rsid w:val="00081E96"/>
    <w:rsid w:val="000C5315"/>
    <w:rsid w:val="000D78CB"/>
    <w:rsid w:val="002D313B"/>
    <w:rsid w:val="00331B17"/>
    <w:rsid w:val="003734F9"/>
    <w:rsid w:val="003B6D07"/>
    <w:rsid w:val="0057497F"/>
    <w:rsid w:val="00636E69"/>
    <w:rsid w:val="00684914"/>
    <w:rsid w:val="00884538"/>
    <w:rsid w:val="00930226"/>
    <w:rsid w:val="00A34E01"/>
    <w:rsid w:val="00AE0FFA"/>
    <w:rsid w:val="00CC1689"/>
    <w:rsid w:val="00D15BEC"/>
    <w:rsid w:val="00D250C1"/>
    <w:rsid w:val="00D26AC6"/>
    <w:rsid w:val="00E53429"/>
    <w:rsid w:val="00E7469B"/>
    <w:rsid w:val="00EB41AB"/>
    <w:rsid w:val="00FE1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52A3"/>
  <w15:chartTrackingRefBased/>
  <w15:docId w15:val="{B77E56EB-220A-4252-9F61-A77837BC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4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84538"/>
    <w:rPr>
      <w:i/>
      <w:iCs/>
    </w:rPr>
  </w:style>
  <w:style w:type="paragraph" w:customStyle="1" w:styleId="p">
    <w:name w:val="p"/>
    <w:basedOn w:val="a"/>
    <w:rsid w:val="00884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84538"/>
    <w:rPr>
      <w:color w:val="0000FF"/>
      <w:u w:val="single"/>
    </w:rPr>
  </w:style>
  <w:style w:type="character" w:customStyle="1" w:styleId="figpopup-sensitive-area">
    <w:name w:val="figpopup-sensitive-area"/>
    <w:basedOn w:val="a0"/>
    <w:rsid w:val="00884538"/>
  </w:style>
  <w:style w:type="character" w:customStyle="1" w:styleId="ref-journal">
    <w:name w:val="ref-journal"/>
    <w:basedOn w:val="a0"/>
    <w:rsid w:val="00884538"/>
  </w:style>
  <w:style w:type="character" w:customStyle="1" w:styleId="ref-vol">
    <w:name w:val="ref-vol"/>
    <w:basedOn w:val="a0"/>
    <w:rsid w:val="00884538"/>
  </w:style>
  <w:style w:type="character" w:customStyle="1" w:styleId="element-citation">
    <w:name w:val="element-citation"/>
    <w:basedOn w:val="a0"/>
    <w:rsid w:val="00884538"/>
  </w:style>
  <w:style w:type="character" w:customStyle="1" w:styleId="nowrap">
    <w:name w:val="nowrap"/>
    <w:basedOn w:val="a0"/>
    <w:rsid w:val="00884538"/>
  </w:style>
  <w:style w:type="character" w:customStyle="1" w:styleId="mixed-citation">
    <w:name w:val="mixed-citation"/>
    <w:basedOn w:val="a0"/>
    <w:rsid w:val="00884538"/>
  </w:style>
  <w:style w:type="table" w:styleId="a6">
    <w:name w:val="Table Grid"/>
    <w:basedOn w:val="a1"/>
    <w:uiPriority w:val="59"/>
    <w:rsid w:val="00884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84538"/>
    <w:pPr>
      <w:ind w:left="720"/>
      <w:contextualSpacing/>
    </w:pPr>
  </w:style>
  <w:style w:type="paragraph" w:customStyle="1" w:styleId="paragraph">
    <w:name w:val="paragraph"/>
    <w:basedOn w:val="a"/>
    <w:rsid w:val="00884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84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38/s41564-020-0688-y" TargetMode="External"/><Relationship Id="rId5" Type="http://schemas.openxmlformats.org/officeDocument/2006/relationships/hyperlink" Target="https://doi.org/10.1038/s41564-020-0695-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3919</Words>
  <Characters>22340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компьютер</dc:creator>
  <cp:keywords/>
  <dc:description/>
  <cp:lastModifiedBy>HP</cp:lastModifiedBy>
  <cp:revision>5</cp:revision>
  <dcterms:created xsi:type="dcterms:W3CDTF">2020-07-06T14:26:00Z</dcterms:created>
  <dcterms:modified xsi:type="dcterms:W3CDTF">2020-07-06T15:11:00Z</dcterms:modified>
</cp:coreProperties>
</file>