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CD" w:rsidRDefault="009008E8">
      <w:pPr>
        <w:pStyle w:val="2"/>
        <w:keepNext w:val="0"/>
        <w:widowControl w:val="0"/>
        <w:spacing w:before="1" w:line="360" w:lineRule="auto"/>
        <w:ind w:left="2229" w:right="1750"/>
        <w:jc w:val="center"/>
        <w:rPr>
          <w:rFonts w:ascii="Times New Roman" w:eastAsia="Times New Roman" w:hAnsi="Times New Roman" w:cs="Times New Roman"/>
          <w:sz w:val="27"/>
          <w:szCs w:val="27"/>
          <w:u w:color="000000"/>
        </w:rPr>
      </w:pPr>
      <w:r>
        <w:rPr>
          <w:rFonts w:ascii="Times New Roman" w:hAnsi="Times New Roman"/>
          <w:sz w:val="27"/>
          <w:szCs w:val="27"/>
          <w:u w:color="000000"/>
        </w:rPr>
        <w:t>ОТЧЁТ</w:t>
      </w:r>
    </w:p>
    <w:p w:rsidR="00F331CD" w:rsidRDefault="009008E8">
      <w:pPr>
        <w:pStyle w:val="a4"/>
        <w:widowControl w:val="0"/>
        <w:spacing w:line="360" w:lineRule="auto"/>
        <w:ind w:left="864" w:right="385" w:hanging="3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по результатам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постмаркетингового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исследования по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сперматологической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токсичности дапоксетина</w:t>
      </w:r>
      <w:r w:rsidRPr="009008E8">
        <w:rPr>
          <w:rFonts w:ascii="Times New Roman" w:hAnsi="Times New Roman"/>
          <w:b/>
          <w:bCs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>-СЗ производства НАО «Северная звезда»</w:t>
      </w:r>
      <w:r w:rsidRPr="009008E8">
        <w:rPr>
          <w:rFonts w:ascii="Times New Roman" w:hAnsi="Times New Roman"/>
          <w:b/>
          <w:bCs/>
          <w:sz w:val="28"/>
          <w:szCs w:val="28"/>
          <w:u w:color="000000"/>
        </w:rPr>
        <w:t>,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Россия) у пациентов с преждевременной эякуляцией, стремящихся к реализации репродуктивной функции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i/>
          <w:iCs/>
          <w:sz w:val="28"/>
          <w:szCs w:val="28"/>
          <w:u w:color="000000"/>
        </w:rPr>
        <w:t>Исполнители: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</w:rPr>
        <w:t>Гамидов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Сафар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Исраилович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д.м.н., профессор, руководитель отделения андрологии и урологии НМИЦ АГП им. В.И. Кулакова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Попова Алина Юрьевна, к.м.н., старший научный сотрудник, врач-уролог отделения андрологии и урологии НМИЦ АГП им. В.И. Кулакова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</w:rPr>
        <w:t>Шатылко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Тарас Валерьевич, к.м.н., врач-уролог отделения андрологии и урологии НМИЦ АГП им. В.И. Кулакова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Общие данные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 исследование вошли 40 пациентов, возраст которых составил от 18 до 40 лет. Медиана возраста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по требованию, составила 29 лет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межквартильный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интервал </w:t>
      </w:r>
      <w:r w:rsidRPr="009008E8">
        <w:rPr>
          <w:rFonts w:ascii="Times New Roman" w:hAnsi="Times New Roman"/>
          <w:sz w:val="28"/>
          <w:szCs w:val="28"/>
          <w:u w:color="000000"/>
        </w:rPr>
        <w:t>[</w:t>
      </w:r>
      <w:r>
        <w:rPr>
          <w:rFonts w:ascii="Times New Roman" w:hAnsi="Times New Roman"/>
          <w:sz w:val="28"/>
          <w:szCs w:val="28"/>
          <w:u w:color="000000"/>
        </w:rPr>
        <w:t>МКР</w:t>
      </w:r>
      <w:r w:rsidRPr="009008E8">
        <w:rPr>
          <w:rFonts w:ascii="Times New Roman" w:hAnsi="Times New Roman"/>
          <w:sz w:val="28"/>
          <w:szCs w:val="28"/>
          <w:u w:color="000000"/>
        </w:rPr>
        <w:t>]</w:t>
      </w:r>
      <w:r>
        <w:rPr>
          <w:rFonts w:ascii="Times New Roman" w:hAnsi="Times New Roman"/>
          <w:sz w:val="28"/>
          <w:szCs w:val="28"/>
          <w:u w:color="000000"/>
        </w:rPr>
        <w:t>: 23-35), в контрольной группе – 30 лет (МКР: 27-34.75).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Медиана кумулятивной дозы 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,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 xml:space="preserve"> принятой пациентами за 1 месяц исследования, составила 345 мг (МКР: 270-420).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Клиническая эффективность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показателей клинической эффективности (продолжительность вагинального полового акта </w:t>
      </w:r>
      <w:r w:rsidRPr="009008E8">
        <w:rPr>
          <w:rFonts w:ascii="Times New Roman" w:hAnsi="Times New Roman"/>
          <w:sz w:val="28"/>
          <w:szCs w:val="28"/>
          <w:u w:color="000000"/>
        </w:rPr>
        <w:t>[</w:t>
      </w:r>
      <w:r>
        <w:rPr>
          <w:rFonts w:ascii="Times New Roman" w:hAnsi="Times New Roman"/>
          <w:sz w:val="28"/>
          <w:szCs w:val="28"/>
          <w:u w:color="000000"/>
        </w:rPr>
        <w:t>ПВПА</w:t>
      </w:r>
      <w:r w:rsidRPr="009008E8">
        <w:rPr>
          <w:rFonts w:ascii="Times New Roman" w:hAnsi="Times New Roman"/>
          <w:sz w:val="28"/>
          <w:szCs w:val="28"/>
          <w:u w:color="000000"/>
        </w:rPr>
        <w:t xml:space="preserve">], </w:t>
      </w:r>
      <w:r>
        <w:rPr>
          <w:rFonts w:ascii="Times New Roman" w:hAnsi="Times New Roman"/>
          <w:sz w:val="28"/>
          <w:szCs w:val="28"/>
          <w:u w:color="000000"/>
        </w:rPr>
        <w:t xml:space="preserve">результаты опросника МИЭФ)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-СЗ</w:t>
      </w:r>
      <w:r w:rsidRPr="009008E8">
        <w:rPr>
          <w:rFonts w:ascii="Times New Roman" w:hAnsi="Times New Roman"/>
          <w:sz w:val="28"/>
          <w:szCs w:val="28"/>
          <w:u w:color="000000"/>
        </w:rPr>
        <w:t>,</w:t>
      </w:r>
      <w:r>
        <w:rPr>
          <w:rFonts w:ascii="Times New Roman" w:hAnsi="Times New Roman"/>
          <w:sz w:val="28"/>
          <w:szCs w:val="28"/>
          <w:u w:color="000000"/>
        </w:rPr>
        <w:t xml:space="preserve"> производства НАО «Северная звезда»), представлена в таблице 1. В таблице 2 продемонстрированы результаты сравнения аналогичных показателей в начале и в конце исследования в контрольной группе.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В таблице 3 представлены результаты сравнения показателей клинической эффективности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-СЗ), и контрольной группе.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9008E8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[30-82.5]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295 [252.5-452.5]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[27-30]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[25-29]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0.073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[9-10]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0.033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[4.75-10]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[10-13.25]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[3.75-6]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[56-61.25]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66.5 [64.75-69]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Таблица 1 – Клиническая эффективность дапоксетина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668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1726"/>
        <w:gridCol w:w="1734"/>
        <w:gridCol w:w="1224"/>
      </w:tblGrid>
      <w:tr w:rsidR="00F331CD" w:rsidTr="0061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F331CD"/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61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[47.5-110]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[27.5-80]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0.161</w:t>
            </w:r>
          </w:p>
        </w:tc>
      </w:tr>
      <w:tr w:rsidR="00F331CD" w:rsidTr="0061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[27.5-30]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[24.75-28]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0.003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[7.75-9.25]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[5.75-9]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0.039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[8.5-12]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[8-11]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0.968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[3-5.25]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0.569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3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[57.75-64]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[53.75-60.25]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0.169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Таблица 2 – Динамика сексуальной функции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E4353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295 [252.5-452.5]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[27.5-80]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[25-29]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[24.75-28]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0.077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[9-10]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[5.75-9]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[10-13.25]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[8-11]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[3-5.25]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66.5 [64.75-69]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[53.75-60.25]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3 – Сравнение итоговых показателей клинической эффективности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Показатели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спермограммы</w:t>
      </w:r>
      <w:proofErr w:type="spellEnd"/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базовых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показана в таблице 4. Динамика базовых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контрольной группе показана в таблице 5.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Результаты сравнения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и контрольной группе показаны в таблице 6.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E4353B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E4353B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3.15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 [2.175-3.975]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 [26.75-86.5]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[26.75-91]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0.516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176.6 [111.9-268.9]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170.75 [63.5-251.2]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0.944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[33-52.25]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[48-65.5]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 [40.3-107.4]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[48.2-159]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0.156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[39.5-61.25]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[52.75-73.25]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 [41.9-129.7]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 [49.8-172.9]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0.197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4 – Динамика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на фоне приёма дапоксетина</w:t>
      </w:r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[2.6-4.2]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 [2.275-4.25]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0.548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[43-82.75]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[35.75-81.25]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0.401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191.25 [119.2-261.5]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189.95 [104.2-309.3]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[39.75-70.25]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0.322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107.6 [54.8-146.5]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92.4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[41.1-179.1]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0.575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[43-78.25]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[39.5-68]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0.406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124.2 [56.8-129.7]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100.9 [42.8-194.3]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0.779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</w:t>
      </w:r>
      <w:r w:rsidRPr="009008E8">
        <w:rPr>
          <w:rFonts w:ascii="Times New Roman" w:hAnsi="Times New Roman"/>
          <w:sz w:val="28"/>
          <w:szCs w:val="28"/>
          <w:u w:color="000000"/>
        </w:rPr>
        <w:t>5</w:t>
      </w:r>
      <w:r>
        <w:rPr>
          <w:rFonts w:ascii="Times New Roman" w:hAnsi="Times New Roman"/>
          <w:sz w:val="28"/>
          <w:szCs w:val="28"/>
          <w:u w:color="000000"/>
        </w:rPr>
        <w:t xml:space="preserve"> – Динамика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E4353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 [2.175-3.975]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 [2.275-4.25]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0.548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[26.75-91]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[35.75-81.25]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0.818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170.75 [63.5-251.2]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189.95 [104.2-309.3]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0.509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[48-65.5]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0.617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[48.2-159]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92.4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[41.1-179.1]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0.881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[52.75-73.25]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[39.5-68]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0.562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 [49.8-172.9]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100.9 [42.8-194.3]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0.818</w:t>
            </w:r>
          </w:p>
        </w:tc>
      </w:tr>
      <w:tr w:rsidR="00F331CD" w:rsidTr="00E4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6 – Сравнение итоговых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Эндокринный профиль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гормональных показателей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показана в таблице 7. Динамика уровней половых гормонов в контрольной группе показана в таблице 8.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Результаты сравнения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C603B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и контрольной группе показаны в </w:t>
      </w: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таблице 9.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C603BB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C603BB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[16.1-26]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19.1 [15.4-22.5]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0.061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119 [84.75-147.5]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131.5 [83.25-151.2]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0.749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0.192 [0.144-0.232]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0.146 [0.112-0.224]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0.037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[149.5-245.7]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[197-315.5]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0.057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 [2.35-4.45]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[2.25-4.325]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0.562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2.7 [2.175-3.35]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[2.15-3]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0.645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211.5 [159.5-233.5]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225.5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[196.7-265]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0.39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Таблица 7 – Динамика уровней половых гормонов на фоне приёма дапоксетина</w:t>
      </w:r>
      <w:r w:rsidR="00C603B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C603B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>-СЗ)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[16.9-29]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21.5 [18.6-27.7]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 [88-114.7]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122.5 [88-151.5]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0.136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0.196 [0.165-0.248]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0.171 [0.128-0.291]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[149-269.5]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[165-277.25]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2.75 [1.975-3.7]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[2-3.675]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0.952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2.15 [1.775-3.725]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[1.875-3.15]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0.857</w:t>
            </w:r>
          </w:p>
        </w:tc>
      </w:tr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[148.5-246]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[170-229.75]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0.653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</w:t>
      </w:r>
      <w:r w:rsidRPr="009008E8">
        <w:rPr>
          <w:rFonts w:ascii="Times New Roman" w:hAnsi="Times New Roman"/>
          <w:sz w:val="28"/>
          <w:szCs w:val="28"/>
          <w:u w:color="000000"/>
        </w:rPr>
        <w:t>8</w:t>
      </w:r>
      <w:r>
        <w:rPr>
          <w:rFonts w:ascii="Times New Roman" w:hAnsi="Times New Roman"/>
          <w:sz w:val="28"/>
          <w:szCs w:val="28"/>
          <w:u w:color="000000"/>
        </w:rPr>
        <w:t xml:space="preserve"> – Динамика уровней половых гормонов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C603B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19.1 [15.4-22.5]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21.5 [18.6-27.7]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0.082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131.5 [83.25-151.2]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122.5 [88-151.5]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0.976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0.146 [0.112-0.224]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0.171 [0.128-0.291]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0.298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[197-315.5]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[165-277.25]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0.091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[2.25-4.325]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[2-3.675]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0.447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[2.15-3]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[1.875-3.15]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0.96</w:t>
            </w:r>
          </w:p>
        </w:tc>
      </w:tr>
      <w:tr w:rsidR="00F3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225.5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[196.7-265]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[170-229.75]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0.183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9 – Сравнение гормонального профиля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Оценка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влияния дапоксетина</w:t>
      </w:r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>Дапосетин</w:t>
      </w:r>
      <w:proofErr w:type="spellEnd"/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>-СЗ)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на показатели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и гормонального профиля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Для оценки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эффекта дапоксетина медианы 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межквартильные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интервалы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половых гормонов были подсчитаны для разных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терцилей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по кумулятивной дозе препарата за весь период исследования. К первому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терцилю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были отнесены пациенты, суммарно принявшие менее 300 мг дапоксетина, а к третьему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терцилю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– принявшие более 400 мг дапоксетина.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На рисунках 1 и 2 продемонстрированы показатели общего количества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общего количества прогрессивно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соответственно. На рисунках 3 и 4 представлены уровни основных репродуктивных гормонов (тестостерон и ФСГ соответственно).</w:t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1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дапоксетина</w:t>
      </w:r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 на общее количество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</w:p>
    <w:p w:rsidR="00F331CD" w:rsidRDefault="00F331CD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lastRenderedPageBreak/>
        <w:drawing>
          <wp:inline distT="0" distB="0" distL="0" distR="0">
            <wp:extent cx="3151301" cy="3674871"/>
            <wp:effectExtent l="0" t="0" r="0" b="0"/>
            <wp:docPr id="107374182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2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дапоксетина </w:t>
      </w:r>
      <w:r w:rsidR="00F716AA">
        <w:rPr>
          <w:rFonts w:ascii="Times New Roman" w:hAnsi="Times New Roman"/>
          <w:sz w:val="28"/>
          <w:szCs w:val="28"/>
          <w:u w:color="000000"/>
        </w:rPr>
        <w:t>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 xml:space="preserve">-СЗ) </w:t>
      </w:r>
      <w:r>
        <w:rPr>
          <w:rFonts w:ascii="Times New Roman" w:hAnsi="Times New Roman"/>
          <w:sz w:val="28"/>
          <w:szCs w:val="28"/>
          <w:u w:color="000000"/>
        </w:rPr>
        <w:t xml:space="preserve">на общее количество прогрессивно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3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дапоксетина</w:t>
      </w:r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 на уровень тестостерона в сыворотке крови</w:t>
      </w:r>
    </w:p>
    <w:p w:rsidR="00F331CD" w:rsidRDefault="00F331CD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4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дапоксетина </w:t>
      </w:r>
      <w:r w:rsidR="00F716AA">
        <w:rPr>
          <w:rFonts w:ascii="Times New Roman" w:hAnsi="Times New Roman"/>
          <w:sz w:val="28"/>
          <w:szCs w:val="28"/>
          <w:u w:color="000000"/>
        </w:rPr>
        <w:t>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 w:rsidR="00456EDB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на уровень фолликулостимулирующего гормона в сыворотке крови</w:t>
      </w:r>
    </w:p>
    <w:p w:rsidR="00F331CD" w:rsidRDefault="009008E8">
      <w:pPr>
        <w:pStyle w:val="a5"/>
        <w:widowControl w:val="0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Явных тенденций по различиям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спермиологических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эндокринных показателях между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терцилями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выделенными по кумулятивной дозе дапоксетина</w:t>
      </w:r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 производства НАО «Северная звезда»)</w:t>
      </w:r>
      <w:r>
        <w:rPr>
          <w:rFonts w:ascii="Times New Roman" w:hAnsi="Times New Roman"/>
          <w:sz w:val="28"/>
          <w:szCs w:val="28"/>
          <w:u w:color="000000"/>
        </w:rPr>
        <w:t xml:space="preserve">, отмечено не было. Однако, для получения более точных данных требуется проведение исследований с большим объёмом выборки. </w:t>
      </w:r>
    </w:p>
    <w:p w:rsidR="00F331CD" w:rsidRDefault="00F331CD">
      <w:pPr>
        <w:pStyle w:val="a5"/>
        <w:widowControl w:val="0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bookmarkStart w:id="0" w:name="_GoBack"/>
      <w:bookmarkEnd w:id="0"/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Заключение</w:t>
      </w:r>
    </w:p>
    <w:p w:rsidR="00F331CD" w:rsidRPr="00456EDB" w:rsidRDefault="009008E8">
      <w:pPr>
        <w:pStyle w:val="a5"/>
        <w:widowControl w:val="0"/>
        <w:spacing w:before="0" w:line="360" w:lineRule="auto"/>
        <w:rPr>
          <w:b/>
        </w:rPr>
      </w:pPr>
      <w:r w:rsidRPr="00456EDB">
        <w:rPr>
          <w:rFonts w:ascii="Times New Roman" w:hAnsi="Times New Roman"/>
          <w:b/>
          <w:sz w:val="28"/>
          <w:szCs w:val="28"/>
          <w:u w:color="000000"/>
        </w:rPr>
        <w:t>Приём дапоксетина</w:t>
      </w:r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 xml:space="preserve"> (</w:t>
      </w:r>
      <w:proofErr w:type="spellStart"/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>Дапоксетин</w:t>
      </w:r>
      <w:proofErr w:type="spellEnd"/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>-СЗ, производства НАО «Северная звезда»)</w:t>
      </w:r>
      <w:r w:rsidRPr="00456EDB">
        <w:rPr>
          <w:rFonts w:ascii="Times New Roman" w:hAnsi="Times New Roman"/>
          <w:b/>
          <w:sz w:val="28"/>
          <w:szCs w:val="28"/>
          <w:u w:color="000000"/>
        </w:rPr>
        <w:t xml:space="preserve"> по требованию приводил к статистически значимому увеличению продолжительности полового акта и повышению степени удовлетворённости половой жизнью, не оказывая при этом негативного влияния на уровень половых гормонов и показатели </w:t>
      </w:r>
      <w:proofErr w:type="spellStart"/>
      <w:r w:rsidRPr="00456EDB">
        <w:rPr>
          <w:rFonts w:ascii="Times New Roman" w:hAnsi="Times New Roman"/>
          <w:b/>
          <w:sz w:val="28"/>
          <w:szCs w:val="28"/>
          <w:u w:color="000000"/>
        </w:rPr>
        <w:t>спермограммы</w:t>
      </w:r>
      <w:proofErr w:type="spellEnd"/>
      <w:r w:rsidRPr="00456EDB">
        <w:rPr>
          <w:rFonts w:ascii="Times New Roman" w:hAnsi="Times New Roman"/>
          <w:b/>
          <w:sz w:val="28"/>
          <w:szCs w:val="28"/>
          <w:u w:color="000000"/>
        </w:rPr>
        <w:t xml:space="preserve">.  </w:t>
      </w:r>
    </w:p>
    <w:sectPr w:rsidR="00F331CD" w:rsidRPr="00456ED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90" w:rsidRDefault="005C1990">
      <w:r>
        <w:separator/>
      </w:r>
    </w:p>
  </w:endnote>
  <w:endnote w:type="continuationSeparator" w:id="0">
    <w:p w:rsidR="005C1990" w:rsidRDefault="005C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8" w:rsidRDefault="009008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90" w:rsidRDefault="005C1990">
      <w:r>
        <w:separator/>
      </w:r>
    </w:p>
  </w:footnote>
  <w:footnote w:type="continuationSeparator" w:id="0">
    <w:p w:rsidR="005C1990" w:rsidRDefault="005C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8" w:rsidRDefault="009008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D"/>
    <w:rsid w:val="00456EDB"/>
    <w:rsid w:val="005C1990"/>
    <w:rsid w:val="00613C76"/>
    <w:rsid w:val="009008E8"/>
    <w:rsid w:val="00C603BB"/>
    <w:rsid w:val="00E4353B"/>
    <w:rsid w:val="00F331CD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FFF3"/>
  <w15:docId w15:val="{440F6C5B-B240-485A-8BFB-1E706CA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Рубрика 2"/>
    <w:next w:val="a4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TCher</cp:lastModifiedBy>
  <cp:revision>6</cp:revision>
  <dcterms:created xsi:type="dcterms:W3CDTF">2024-01-16T09:53:00Z</dcterms:created>
  <dcterms:modified xsi:type="dcterms:W3CDTF">2024-01-16T10:20:00Z</dcterms:modified>
</cp:coreProperties>
</file>